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6505" w14:textId="77777777" w:rsidR="00413F96" w:rsidRPr="004335A3" w:rsidRDefault="00F06A08" w:rsidP="00F06A08">
      <w:pPr>
        <w:pStyle w:val="Title"/>
        <w:rPr>
          <w:rFonts w:ascii="Cambria" w:hAnsi="Cambria"/>
          <w:sz w:val="32"/>
        </w:rPr>
      </w:pPr>
      <w:r w:rsidRPr="004335A3">
        <w:rPr>
          <w:rFonts w:ascii="Cambria" w:hAnsi="Cambria"/>
          <w:sz w:val="36"/>
        </w:rPr>
        <w:t>Summer 2013: Elementary Literacy Professional Development Opportunities</w:t>
      </w:r>
    </w:p>
    <w:p w14:paraId="19F8390D" w14:textId="77777777" w:rsidR="00F06A08" w:rsidRPr="004335A3" w:rsidRDefault="00F06A08" w:rsidP="00F06A08">
      <w:pPr>
        <w:rPr>
          <w:rStyle w:val="SubtleEmphasis"/>
          <w:b/>
          <w:sz w:val="20"/>
        </w:rPr>
      </w:pPr>
      <w:r w:rsidRPr="004335A3">
        <w:rPr>
          <w:rStyle w:val="SubtleEmphasis"/>
          <w:b/>
          <w:sz w:val="20"/>
        </w:rPr>
        <w:t xml:space="preserve">Each grade level will have a 2 day PLC session that will be facilitated by a grade level teacher and an instructional coach.  These sessions will focus on grade-level implementation of the 2013-2014 district curriculum guides, the Journeys instructional materials and the Iowa Common Core Standards.  There will be frequent opportunities for peer collaboration and planning for implementation. Building </w:t>
      </w:r>
      <w:proofErr w:type="spellStart"/>
      <w:r w:rsidRPr="004335A3">
        <w:rPr>
          <w:rStyle w:val="SubtleEmphasis"/>
          <w:b/>
          <w:sz w:val="20"/>
        </w:rPr>
        <w:t>EQ</w:t>
      </w:r>
      <w:proofErr w:type="spellEnd"/>
      <w:r w:rsidRPr="004335A3">
        <w:rPr>
          <w:rStyle w:val="SubtleEmphasis"/>
          <w:b/>
          <w:sz w:val="20"/>
        </w:rPr>
        <w:t xml:space="preserve"> Funds may be used to compen</w:t>
      </w:r>
      <w:r w:rsidR="00CA09F1" w:rsidRPr="004335A3">
        <w:rPr>
          <w:rStyle w:val="SubtleEmphasis"/>
          <w:b/>
          <w:sz w:val="20"/>
        </w:rPr>
        <w:t xml:space="preserve">sate teachers for their time.  </w:t>
      </w:r>
      <w:r w:rsidRPr="004335A3">
        <w:rPr>
          <w:rStyle w:val="SubtleEmphasis"/>
          <w:b/>
          <w:sz w:val="20"/>
        </w:rPr>
        <w:t>The agenda for these sessions will be as follows: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9"/>
        <w:gridCol w:w="7409"/>
      </w:tblGrid>
      <w:tr w:rsidR="00CA09F1" w:rsidRPr="00CA09F1" w14:paraId="7A4FAD32" w14:textId="77777777" w:rsidTr="004335A3">
        <w:trPr>
          <w:trHeight w:val="3373"/>
        </w:trPr>
        <w:tc>
          <w:tcPr>
            <w:tcW w:w="7499" w:type="dxa"/>
          </w:tcPr>
          <w:p w14:paraId="62B16A98" w14:textId="77777777" w:rsidR="00CA09F1" w:rsidRPr="00A726BB" w:rsidRDefault="00CA09F1" w:rsidP="00167C3B">
            <w:pPr>
              <w:rPr>
                <w:rStyle w:val="SubtleEmphasis"/>
                <w:b/>
                <w:i w:val="0"/>
                <w:color w:val="auto"/>
                <w:u w:val="single"/>
              </w:rPr>
            </w:pPr>
            <w:r w:rsidRPr="00A726BB">
              <w:rPr>
                <w:rStyle w:val="SubtleEmphasis"/>
                <w:b/>
                <w:i w:val="0"/>
                <w:color w:val="auto"/>
                <w:u w:val="single"/>
              </w:rPr>
              <w:t>Day 1:</w:t>
            </w:r>
          </w:p>
          <w:p w14:paraId="4B533A9F" w14:textId="77777777" w:rsidR="00CA09F1" w:rsidRPr="00CA09F1" w:rsidRDefault="00CA09F1" w:rsidP="00783236">
            <w:pPr>
              <w:pStyle w:val="ListParagraph"/>
              <w:numPr>
                <w:ilvl w:val="0"/>
                <w:numId w:val="1"/>
              </w:numPr>
              <w:ind w:right="162"/>
              <w:rPr>
                <w:rStyle w:val="SubtleEmphasis"/>
                <w:i w:val="0"/>
                <w:color w:val="auto"/>
                <w:sz w:val="18"/>
              </w:rPr>
            </w:pPr>
            <w:r w:rsidRPr="00CA09F1">
              <w:rPr>
                <w:rStyle w:val="SubtleEmphasis"/>
                <w:i w:val="0"/>
                <w:color w:val="auto"/>
                <w:sz w:val="18"/>
              </w:rPr>
              <w:t>Elementary Literacy Instructional Framework</w:t>
            </w:r>
          </w:p>
          <w:p w14:paraId="52FCCF69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2013-2014 Curriculum Guides</w:t>
            </w:r>
          </w:p>
          <w:p w14:paraId="47ADCD54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Scheduling the Components of our Framework</w:t>
            </w:r>
            <w:r w:rsidRPr="00CA09F1">
              <w:rPr>
                <w:rStyle w:val="SubtleEmphasis"/>
                <w:i w:val="0"/>
                <w:color w:val="auto"/>
                <w:sz w:val="18"/>
              </w:rPr>
              <w:br/>
            </w:r>
          </w:p>
          <w:p w14:paraId="71AAF5B7" w14:textId="77777777" w:rsidR="00CA09F1" w:rsidRPr="00CA09F1" w:rsidRDefault="00CA09F1" w:rsidP="00783236">
            <w:pPr>
              <w:pStyle w:val="ListParagraph"/>
              <w:numPr>
                <w:ilvl w:val="0"/>
                <w:numId w:val="1"/>
              </w:numPr>
              <w:ind w:right="162"/>
              <w:rPr>
                <w:rStyle w:val="SubtleEmphasis"/>
                <w:i w:val="0"/>
                <w:color w:val="auto"/>
                <w:sz w:val="18"/>
              </w:rPr>
            </w:pPr>
            <w:r w:rsidRPr="00CA09F1">
              <w:rPr>
                <w:rStyle w:val="SubtleEmphasis"/>
                <w:i w:val="0"/>
                <w:color w:val="auto"/>
                <w:sz w:val="18"/>
              </w:rPr>
              <w:t>Comprehension Instruction: Whole Group &amp; Small Group</w:t>
            </w:r>
          </w:p>
          <w:p w14:paraId="46A16464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Effective Comprehension Instruction</w:t>
            </w:r>
          </w:p>
          <w:p w14:paraId="3895345C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Lesson Demonstrations</w:t>
            </w:r>
          </w:p>
          <w:p w14:paraId="4F0673B4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Engaging Students in Comprehension Instruction</w:t>
            </w:r>
          </w:p>
          <w:p w14:paraId="4591A8C4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Using Technology and Think Central to Support Comprehension Instruction</w:t>
            </w:r>
            <w:r w:rsidRPr="00CA09F1">
              <w:rPr>
                <w:rStyle w:val="SubtleEmphasis"/>
                <w:i w:val="0"/>
                <w:color w:val="auto"/>
                <w:sz w:val="18"/>
              </w:rPr>
              <w:br/>
            </w:r>
            <w:bookmarkStart w:id="0" w:name="_GoBack"/>
            <w:bookmarkEnd w:id="0"/>
          </w:p>
          <w:p w14:paraId="00044205" w14:textId="77777777" w:rsidR="00CA09F1" w:rsidRPr="00CA09F1" w:rsidRDefault="00CA09F1" w:rsidP="00783236">
            <w:pPr>
              <w:pStyle w:val="ListParagraph"/>
              <w:numPr>
                <w:ilvl w:val="0"/>
                <w:numId w:val="1"/>
              </w:numPr>
              <w:ind w:right="162"/>
              <w:rPr>
                <w:rStyle w:val="SubtleEmphasis"/>
                <w:i w:val="0"/>
                <w:color w:val="auto"/>
                <w:sz w:val="18"/>
              </w:rPr>
            </w:pPr>
            <w:r w:rsidRPr="00CA09F1">
              <w:rPr>
                <w:rStyle w:val="SubtleEmphasis"/>
                <w:i w:val="0"/>
                <w:color w:val="auto"/>
                <w:sz w:val="18"/>
              </w:rPr>
              <w:t>Grammar and Writing Instruction</w:t>
            </w:r>
          </w:p>
          <w:p w14:paraId="3E6572FD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Effective Grammar and Writing Instruction</w:t>
            </w:r>
          </w:p>
          <w:p w14:paraId="54F91E17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Lesson Demonstrations</w:t>
            </w:r>
          </w:p>
          <w:p w14:paraId="7404394F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Engaging Students in Grammar and Writing Instruction</w:t>
            </w:r>
          </w:p>
          <w:p w14:paraId="61178D8C" w14:textId="77777777" w:rsidR="00CA09F1" w:rsidRPr="00CA09F1" w:rsidRDefault="00CA09F1" w:rsidP="00783236">
            <w:pPr>
              <w:pStyle w:val="ListParagraph"/>
              <w:numPr>
                <w:ilvl w:val="1"/>
                <w:numId w:val="1"/>
              </w:numPr>
              <w:ind w:right="162"/>
              <w:rPr>
                <w:rStyle w:val="SubtleEmphasis"/>
                <w:b/>
                <w:i w:val="0"/>
                <w:color w:val="auto"/>
                <w:sz w:val="18"/>
                <w:u w:val="single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Using Technology and Think Central to Support Grammar and Writing Instruction</w:t>
            </w:r>
          </w:p>
        </w:tc>
        <w:tc>
          <w:tcPr>
            <w:tcW w:w="7409" w:type="dxa"/>
          </w:tcPr>
          <w:p w14:paraId="5F9E2BD1" w14:textId="77777777" w:rsidR="00CA09F1" w:rsidRPr="00A726BB" w:rsidRDefault="00CA09F1" w:rsidP="00CA09F1">
            <w:pPr>
              <w:rPr>
                <w:rStyle w:val="SubtleEmphasis"/>
                <w:b/>
                <w:i w:val="0"/>
                <w:color w:val="auto"/>
                <w:u w:val="single"/>
              </w:rPr>
            </w:pPr>
            <w:r w:rsidRPr="00A726BB">
              <w:rPr>
                <w:rStyle w:val="SubtleEmphasis"/>
                <w:b/>
                <w:i w:val="0"/>
                <w:color w:val="auto"/>
                <w:u w:val="single"/>
              </w:rPr>
              <w:t>Day 2:</w:t>
            </w:r>
          </w:p>
          <w:p w14:paraId="5203E9B6" w14:textId="77777777" w:rsidR="00CA09F1" w:rsidRPr="00CA09F1" w:rsidRDefault="00CA09F1" w:rsidP="00CA09F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i w:val="0"/>
                <w:color w:val="auto"/>
                <w:sz w:val="18"/>
              </w:rPr>
            </w:pPr>
            <w:r w:rsidRPr="00CA09F1">
              <w:rPr>
                <w:rStyle w:val="SubtleEmphasis"/>
                <w:i w:val="0"/>
                <w:color w:val="auto"/>
                <w:sz w:val="18"/>
              </w:rPr>
              <w:t>Word Study Instruction – Phonemic Awareness, Phonics, Spelling and Vocabulary</w:t>
            </w:r>
          </w:p>
          <w:p w14:paraId="7B29BD76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Effective Word Study Instruction</w:t>
            </w:r>
          </w:p>
          <w:p w14:paraId="0B56499D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Lesson Demonstrations</w:t>
            </w:r>
          </w:p>
          <w:p w14:paraId="0852B553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Engaging Students in Word Study Instruction</w:t>
            </w:r>
          </w:p>
          <w:p w14:paraId="6802E7D9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Using Technology and Think Central to Support Word Study Instruction</w:t>
            </w:r>
            <w:r w:rsidRPr="00CA09F1">
              <w:rPr>
                <w:rStyle w:val="SubtleEmphasis"/>
                <w:i w:val="0"/>
                <w:color w:val="auto"/>
                <w:sz w:val="18"/>
              </w:rPr>
              <w:br/>
            </w:r>
          </w:p>
          <w:p w14:paraId="52856099" w14:textId="77777777" w:rsidR="00CA09F1" w:rsidRPr="00CA09F1" w:rsidRDefault="00CA09F1" w:rsidP="00CA09F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i w:val="0"/>
                <w:color w:val="auto"/>
                <w:sz w:val="18"/>
              </w:rPr>
            </w:pPr>
            <w:r w:rsidRPr="00CA09F1">
              <w:rPr>
                <w:rStyle w:val="SubtleEmphasis"/>
                <w:i w:val="0"/>
                <w:color w:val="auto"/>
                <w:sz w:val="18"/>
              </w:rPr>
              <w:t>Fluency Instruction</w:t>
            </w:r>
          </w:p>
          <w:p w14:paraId="61D7B595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Effective Fluency Instruction</w:t>
            </w:r>
          </w:p>
          <w:p w14:paraId="2B5DF377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Lesson Demonstrations</w:t>
            </w:r>
          </w:p>
          <w:p w14:paraId="4E51EA01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Engaging Students in Fluency Instruction</w:t>
            </w:r>
          </w:p>
          <w:p w14:paraId="378B1709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Using Technology and Think Central to Support Fluency Instruction</w:t>
            </w:r>
            <w:r w:rsidRPr="00CA09F1">
              <w:rPr>
                <w:rStyle w:val="SubtleEmphasis"/>
                <w:i w:val="0"/>
                <w:color w:val="auto"/>
                <w:sz w:val="20"/>
              </w:rPr>
              <w:br/>
            </w:r>
          </w:p>
          <w:p w14:paraId="6DFF729B" w14:textId="77777777" w:rsidR="00CA09F1" w:rsidRPr="00CA09F1" w:rsidRDefault="00CA09F1" w:rsidP="00CA09F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i w:val="0"/>
                <w:color w:val="auto"/>
                <w:sz w:val="18"/>
              </w:rPr>
            </w:pPr>
            <w:r w:rsidRPr="00CA09F1">
              <w:rPr>
                <w:rStyle w:val="SubtleEmphasis"/>
                <w:i w:val="0"/>
                <w:color w:val="auto"/>
                <w:sz w:val="18"/>
              </w:rPr>
              <w:t>Supporting Assessment</w:t>
            </w:r>
          </w:p>
          <w:p w14:paraId="7BDCA94E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8"/>
              </w:rPr>
            </w:pPr>
            <w:r w:rsidRPr="00CA09F1">
              <w:rPr>
                <w:rStyle w:val="SubtleEmphasis"/>
                <w:i w:val="0"/>
                <w:color w:val="auto"/>
                <w:sz w:val="16"/>
              </w:rPr>
              <w:t>2013-2014 Elementary Literacy Assessment Plan</w:t>
            </w:r>
          </w:p>
          <w:p w14:paraId="5B57FF0F" w14:textId="77777777" w:rsidR="00CA09F1" w:rsidRPr="00CA09F1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>
              <w:rPr>
                <w:rStyle w:val="SubtleEmphasis"/>
                <w:i w:val="0"/>
                <w:color w:val="auto"/>
                <w:sz w:val="16"/>
              </w:rPr>
              <w:t>Creating Common Formative Assessments</w:t>
            </w:r>
            <w:r w:rsidRPr="00CA09F1">
              <w:rPr>
                <w:rStyle w:val="SubtleEmphasis"/>
                <w:i w:val="0"/>
                <w:color w:val="auto"/>
                <w:sz w:val="18"/>
              </w:rPr>
              <w:br/>
            </w:r>
          </w:p>
          <w:p w14:paraId="59E0C7AD" w14:textId="77777777" w:rsidR="00CA09F1" w:rsidRPr="00CA09F1" w:rsidRDefault="00CA09F1" w:rsidP="00CA09F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i w:val="0"/>
                <w:color w:val="auto"/>
                <w:sz w:val="18"/>
              </w:rPr>
            </w:pPr>
            <w:r w:rsidRPr="00CA09F1">
              <w:rPr>
                <w:rStyle w:val="SubtleEmphasis"/>
                <w:i w:val="0"/>
                <w:color w:val="auto"/>
                <w:sz w:val="18"/>
              </w:rPr>
              <w:t>Incorporating Science and Social Studies Instruction</w:t>
            </w:r>
          </w:p>
          <w:p w14:paraId="1F5920E6" w14:textId="77777777" w:rsidR="0027386D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27386D">
              <w:rPr>
                <w:rStyle w:val="SubtleEmphasis"/>
                <w:i w:val="0"/>
                <w:color w:val="auto"/>
                <w:sz w:val="16"/>
              </w:rPr>
              <w:t>2013-2014 Scien</w:t>
            </w:r>
            <w:r w:rsidR="0027386D">
              <w:rPr>
                <w:rStyle w:val="SubtleEmphasis"/>
                <w:i w:val="0"/>
                <w:color w:val="auto"/>
                <w:sz w:val="16"/>
              </w:rPr>
              <w:t>ce and Social Studies Framework</w:t>
            </w:r>
          </w:p>
          <w:p w14:paraId="394FE45B" w14:textId="77777777" w:rsidR="00CA09F1" w:rsidRPr="0027386D" w:rsidRDefault="00CA09F1" w:rsidP="00CA09F1">
            <w:pPr>
              <w:pStyle w:val="ListParagraph"/>
              <w:numPr>
                <w:ilvl w:val="1"/>
                <w:numId w:val="2"/>
              </w:numPr>
              <w:rPr>
                <w:rStyle w:val="SubtleEmphasis"/>
                <w:i w:val="0"/>
                <w:color w:val="auto"/>
                <w:sz w:val="16"/>
              </w:rPr>
            </w:pPr>
            <w:r w:rsidRPr="0027386D">
              <w:rPr>
                <w:rStyle w:val="SubtleEmphasis"/>
                <w:i w:val="0"/>
                <w:color w:val="auto"/>
                <w:sz w:val="16"/>
              </w:rPr>
              <w:t xml:space="preserve">Effective Content Area Teaching </w:t>
            </w:r>
          </w:p>
          <w:p w14:paraId="48F857DE" w14:textId="77777777" w:rsidR="00CA09F1" w:rsidRPr="00CA09F1" w:rsidRDefault="00CA09F1" w:rsidP="00167C3B">
            <w:pPr>
              <w:rPr>
                <w:rStyle w:val="SubtleEmphasis"/>
                <w:b/>
                <w:i w:val="0"/>
                <w:color w:val="auto"/>
                <w:sz w:val="18"/>
                <w:u w:val="single"/>
              </w:rPr>
            </w:pPr>
          </w:p>
        </w:tc>
      </w:tr>
    </w:tbl>
    <w:p w14:paraId="5DB4574A" w14:textId="6B597C8E" w:rsidR="00CA09F1" w:rsidRPr="00CA09F1" w:rsidRDefault="00CA09F1" w:rsidP="00CA09F1">
      <w:pPr>
        <w:rPr>
          <w:rStyle w:val="SubtleEmphasis"/>
          <w:b/>
          <w:i w:val="0"/>
          <w:color w:val="auto"/>
          <w:u w:val="single"/>
        </w:rPr>
      </w:pPr>
      <w:r w:rsidRPr="00CA09F1">
        <w:rPr>
          <w:rStyle w:val="SubtleEmphasis"/>
          <w:b/>
          <w:i w:val="0"/>
          <w:color w:val="auto"/>
          <w:u w:val="single"/>
        </w:rPr>
        <w:t>Logistics:</w:t>
      </w:r>
    </w:p>
    <w:tbl>
      <w:tblPr>
        <w:tblStyle w:val="TableGrid"/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2610"/>
        <w:gridCol w:w="2430"/>
        <w:gridCol w:w="2160"/>
        <w:gridCol w:w="2190"/>
        <w:gridCol w:w="2220"/>
      </w:tblGrid>
      <w:tr w:rsidR="004335A3" w:rsidRPr="00CA09F1" w14:paraId="459D7A97" w14:textId="77777777" w:rsidTr="004335A3">
        <w:trPr>
          <w:trHeight w:val="313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A85A319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3CEE188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Kindergarten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2AEE404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1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A6E3D7B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2394ADD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3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3AF9B616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4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18CB2D81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5</w:t>
            </w:r>
          </w:p>
        </w:tc>
      </w:tr>
      <w:tr w:rsidR="00783236" w:rsidRPr="00CA09F1" w14:paraId="57FD19B3" w14:textId="77777777" w:rsidTr="004335A3">
        <w:trPr>
          <w:trHeight w:val="608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574CCB2" w14:textId="77777777" w:rsidR="00EE350D" w:rsidRPr="00783236" w:rsidRDefault="00EE350D" w:rsidP="00CA09F1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783236">
              <w:rPr>
                <w:rStyle w:val="SubtleEmphasis"/>
                <w:i w:val="0"/>
                <w:color w:val="auto"/>
                <w:sz w:val="20"/>
              </w:rPr>
              <w:t>Facilitators</w:t>
            </w:r>
          </w:p>
        </w:tc>
        <w:tc>
          <w:tcPr>
            <w:tcW w:w="2070" w:type="dxa"/>
            <w:vAlign w:val="center"/>
          </w:tcPr>
          <w:p w14:paraId="2CDD9A56" w14:textId="2F62DAA0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Allison Berg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(Park Ave.)</w:t>
            </w:r>
          </w:p>
          <w:p w14:paraId="4C76AEA2" w14:textId="7E69E957" w:rsidR="00CA09F1" w:rsidRPr="00CA09F1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Joanna Pose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(Park Ave.)</w:t>
            </w:r>
          </w:p>
        </w:tc>
        <w:tc>
          <w:tcPr>
            <w:tcW w:w="2610" w:type="dxa"/>
            <w:vAlign w:val="center"/>
          </w:tcPr>
          <w:p w14:paraId="00164B15" w14:textId="402997CE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 xml:space="preserve">Esther </w:t>
            </w:r>
            <w:proofErr w:type="spellStart"/>
            <w:r>
              <w:rPr>
                <w:rStyle w:val="SubtleEmphasis"/>
                <w:i w:val="0"/>
                <w:color w:val="auto"/>
                <w:sz w:val="18"/>
              </w:rPr>
              <w:t>Locher</w:t>
            </w:r>
            <w:proofErr w:type="spellEnd"/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(Oak Park)</w:t>
            </w:r>
          </w:p>
          <w:p w14:paraId="724B0A04" w14:textId="16B19494" w:rsidR="00CA09F1" w:rsidRPr="00CA09F1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 xml:space="preserve">Ashley </w:t>
            </w:r>
            <w:r w:rsidRPr="00CA09F1">
              <w:rPr>
                <w:rStyle w:val="SubtleEmphasis"/>
                <w:i w:val="0"/>
                <w:color w:val="auto"/>
                <w:sz w:val="18"/>
              </w:rPr>
              <w:t>Inthalangsy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(Oak Park)</w:t>
            </w:r>
          </w:p>
        </w:tc>
        <w:tc>
          <w:tcPr>
            <w:tcW w:w="2430" w:type="dxa"/>
            <w:vAlign w:val="center"/>
          </w:tcPr>
          <w:p w14:paraId="43CC2DCC" w14:textId="7E2F0869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 xml:space="preserve">Carrie </w:t>
            </w:r>
            <w:proofErr w:type="spellStart"/>
            <w:r>
              <w:rPr>
                <w:rStyle w:val="SubtleEmphasis"/>
                <w:i w:val="0"/>
                <w:color w:val="auto"/>
                <w:sz w:val="18"/>
              </w:rPr>
              <w:t>Spoelstra</w:t>
            </w:r>
            <w:proofErr w:type="spellEnd"/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(Brubaker)</w:t>
            </w:r>
          </w:p>
          <w:p w14:paraId="0B05B36B" w14:textId="6867FBC3" w:rsidR="00CA09F1" w:rsidRPr="00CA09F1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Jackie Aguiniga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>(Brubaker)</w:t>
            </w:r>
          </w:p>
        </w:tc>
        <w:tc>
          <w:tcPr>
            <w:tcW w:w="2160" w:type="dxa"/>
            <w:vAlign w:val="center"/>
          </w:tcPr>
          <w:p w14:paraId="74C0CE35" w14:textId="78324F50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Missy Hanasz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(Madison)</w:t>
            </w:r>
          </w:p>
          <w:p w14:paraId="23B3CC41" w14:textId="3D19B5CF" w:rsidR="00CA09F1" w:rsidRPr="00CA09F1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Jamie O’Brien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(Madison)</w:t>
            </w:r>
          </w:p>
        </w:tc>
        <w:tc>
          <w:tcPr>
            <w:tcW w:w="2190" w:type="dxa"/>
            <w:vAlign w:val="center"/>
          </w:tcPr>
          <w:p w14:paraId="43AF9CF9" w14:textId="1E60A8E2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Nikki Thies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(Greenwood)</w:t>
            </w:r>
          </w:p>
          <w:p w14:paraId="4325E19C" w14:textId="7D3BA20A" w:rsidR="00CA09F1" w:rsidRPr="00CA09F1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Brandi Miller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</w:t>
            </w:r>
            <w:proofErr w:type="spellStart"/>
            <w:r w:rsidR="00783236">
              <w:rPr>
                <w:rStyle w:val="SubtleEmphasis"/>
                <w:i w:val="0"/>
                <w:color w:val="auto"/>
                <w:sz w:val="18"/>
              </w:rPr>
              <w:t>Garton</w:t>
            </w:r>
            <w:proofErr w:type="spellEnd"/>
            <w:r w:rsidR="00783236">
              <w:rPr>
                <w:rStyle w:val="SubtleEmphasis"/>
                <w:i w:val="0"/>
                <w:color w:val="auto"/>
                <w:sz w:val="18"/>
              </w:rPr>
              <w:t>)</w:t>
            </w:r>
          </w:p>
        </w:tc>
        <w:tc>
          <w:tcPr>
            <w:tcW w:w="2220" w:type="dxa"/>
            <w:vAlign w:val="center"/>
          </w:tcPr>
          <w:p w14:paraId="1F4CFFC1" w14:textId="73C465D2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Kellie Tu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</w:t>
            </w:r>
            <w:proofErr w:type="spellStart"/>
            <w:r w:rsidR="00783236">
              <w:rPr>
                <w:rStyle w:val="SubtleEmphasis"/>
                <w:i w:val="0"/>
                <w:color w:val="auto"/>
                <w:sz w:val="18"/>
              </w:rPr>
              <w:t>Hillis</w:t>
            </w:r>
            <w:proofErr w:type="spellEnd"/>
            <w:r w:rsidR="00783236">
              <w:rPr>
                <w:rStyle w:val="SubtleEmphasis"/>
                <w:i w:val="0"/>
                <w:color w:val="auto"/>
                <w:sz w:val="18"/>
              </w:rPr>
              <w:t>)</w:t>
            </w:r>
          </w:p>
          <w:p w14:paraId="67FC6009" w14:textId="508323CC" w:rsidR="00CA09F1" w:rsidRPr="00CA09F1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>
              <w:rPr>
                <w:rStyle w:val="SubtleEmphasis"/>
                <w:i w:val="0"/>
                <w:color w:val="auto"/>
                <w:sz w:val="18"/>
              </w:rPr>
              <w:t>Claudia Lorentzen</w:t>
            </w:r>
            <w:r w:rsidR="00783236">
              <w:rPr>
                <w:rStyle w:val="SubtleEmphasis"/>
                <w:i w:val="0"/>
                <w:color w:val="auto"/>
                <w:sz w:val="18"/>
              </w:rPr>
              <w:t xml:space="preserve"> (</w:t>
            </w:r>
            <w:proofErr w:type="spellStart"/>
            <w:r w:rsidR="00783236">
              <w:rPr>
                <w:rStyle w:val="SubtleEmphasis"/>
                <w:i w:val="0"/>
                <w:color w:val="auto"/>
                <w:sz w:val="18"/>
              </w:rPr>
              <w:t>Hillis</w:t>
            </w:r>
            <w:proofErr w:type="spellEnd"/>
            <w:r w:rsidR="00783236">
              <w:rPr>
                <w:rStyle w:val="SubtleEmphasis"/>
                <w:i w:val="0"/>
                <w:color w:val="auto"/>
                <w:sz w:val="18"/>
              </w:rPr>
              <w:t>)</w:t>
            </w:r>
          </w:p>
        </w:tc>
      </w:tr>
      <w:tr w:rsidR="00783236" w:rsidRPr="00CA09F1" w14:paraId="7207DAE8" w14:textId="77777777" w:rsidTr="004335A3">
        <w:trPr>
          <w:trHeight w:val="228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3CFDF77" w14:textId="77777777" w:rsidR="00EE350D" w:rsidRPr="00783236" w:rsidRDefault="00EE350D" w:rsidP="00CA09F1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783236">
              <w:rPr>
                <w:rStyle w:val="SubtleEmphasis"/>
                <w:i w:val="0"/>
                <w:color w:val="auto"/>
                <w:sz w:val="20"/>
              </w:rPr>
              <w:t>Dates</w:t>
            </w:r>
          </w:p>
        </w:tc>
        <w:tc>
          <w:tcPr>
            <w:tcW w:w="2070" w:type="dxa"/>
            <w:vAlign w:val="center"/>
          </w:tcPr>
          <w:p w14:paraId="78BCA03C" w14:textId="77777777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June 19-20</w:t>
            </w:r>
          </w:p>
          <w:p w14:paraId="775C0CFD" w14:textId="77777777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Dean Ave.</w:t>
            </w:r>
          </w:p>
          <w:p w14:paraId="216B3508" w14:textId="4F0BACCB" w:rsidR="00CA09F1" w:rsidRPr="00CA09F1" w:rsidRDefault="00CA09F1" w:rsidP="0078323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color w:val="auto"/>
                <w:sz w:val="16"/>
              </w:rPr>
              <w:t>1917 Dean Ave</w:t>
            </w:r>
            <w:r w:rsidR="00783236">
              <w:rPr>
                <w:rStyle w:val="SubtleEmphasis"/>
                <w:color w:val="auto"/>
                <w:sz w:val="16"/>
              </w:rPr>
              <w:t>.</w:t>
            </w:r>
            <w:r>
              <w:rPr>
                <w:rStyle w:val="SubtleEmphasis"/>
                <w:color w:val="auto"/>
                <w:sz w:val="16"/>
              </w:rPr>
              <w:t xml:space="preserve"> </w:t>
            </w:r>
            <w:r w:rsidRPr="00CA09F1">
              <w:rPr>
                <w:rStyle w:val="SubtleEmphasis"/>
                <w:color w:val="auto"/>
                <w:sz w:val="16"/>
              </w:rPr>
              <w:t>Des Moines</w:t>
            </w:r>
          </w:p>
        </w:tc>
        <w:tc>
          <w:tcPr>
            <w:tcW w:w="2610" w:type="dxa"/>
            <w:vAlign w:val="center"/>
          </w:tcPr>
          <w:p w14:paraId="28DE35C5" w14:textId="77777777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June 26-27</w:t>
            </w:r>
          </w:p>
          <w:p w14:paraId="6FC19371" w14:textId="77777777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Dean Ave.</w:t>
            </w:r>
          </w:p>
          <w:p w14:paraId="70423DD3" w14:textId="386552F6" w:rsidR="00CA09F1" w:rsidRPr="00CA09F1" w:rsidRDefault="00CA09F1" w:rsidP="0078323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color w:val="auto"/>
                <w:sz w:val="16"/>
              </w:rPr>
              <w:t>1917 Dean Ave</w:t>
            </w:r>
            <w:r w:rsidR="00783236">
              <w:rPr>
                <w:rStyle w:val="SubtleEmphasis"/>
                <w:color w:val="auto"/>
                <w:sz w:val="16"/>
              </w:rPr>
              <w:t>.</w:t>
            </w:r>
            <w:r>
              <w:rPr>
                <w:rStyle w:val="SubtleEmphasis"/>
                <w:color w:val="auto"/>
                <w:sz w:val="16"/>
              </w:rPr>
              <w:t xml:space="preserve"> </w:t>
            </w:r>
            <w:r w:rsidRPr="00CA09F1">
              <w:rPr>
                <w:rStyle w:val="SubtleEmphasis"/>
                <w:color w:val="auto"/>
                <w:sz w:val="16"/>
              </w:rPr>
              <w:t>Des Moines</w:t>
            </w:r>
          </w:p>
        </w:tc>
        <w:tc>
          <w:tcPr>
            <w:tcW w:w="2430" w:type="dxa"/>
            <w:vAlign w:val="center"/>
          </w:tcPr>
          <w:p w14:paraId="384AB785" w14:textId="77777777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June 24-25</w:t>
            </w:r>
          </w:p>
          <w:p w14:paraId="256F4A80" w14:textId="77777777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Dean Ave.</w:t>
            </w:r>
          </w:p>
          <w:p w14:paraId="3989DA88" w14:textId="1DFB9BBC" w:rsidR="00CA09F1" w:rsidRPr="00CA09F1" w:rsidRDefault="00CA09F1" w:rsidP="00783236">
            <w:pPr>
              <w:jc w:val="center"/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sz w:val="16"/>
              </w:rPr>
              <w:t>1917 Dean Ave</w:t>
            </w:r>
            <w:r w:rsidR="00783236">
              <w:rPr>
                <w:rStyle w:val="SubtleEmphasis"/>
                <w:color w:val="auto"/>
                <w:sz w:val="16"/>
              </w:rPr>
              <w:t>.</w:t>
            </w:r>
            <w:r>
              <w:rPr>
                <w:rStyle w:val="SubtleEmphasis"/>
                <w:color w:val="auto"/>
                <w:sz w:val="16"/>
              </w:rPr>
              <w:t xml:space="preserve"> </w:t>
            </w:r>
            <w:r w:rsidRPr="00CA09F1">
              <w:rPr>
                <w:rStyle w:val="SubtleEmphasis"/>
                <w:color w:val="auto"/>
                <w:sz w:val="16"/>
              </w:rPr>
              <w:t>Des Moines</w:t>
            </w:r>
          </w:p>
        </w:tc>
        <w:tc>
          <w:tcPr>
            <w:tcW w:w="2160" w:type="dxa"/>
            <w:vAlign w:val="center"/>
          </w:tcPr>
          <w:p w14:paraId="78915890" w14:textId="77777777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June 10-11</w:t>
            </w:r>
          </w:p>
          <w:p w14:paraId="7AFF7F40" w14:textId="77777777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Gloria Dei</w:t>
            </w:r>
          </w:p>
          <w:p w14:paraId="3F09DDAF" w14:textId="6B6740B9" w:rsidR="00CA09F1" w:rsidRPr="00783236" w:rsidRDefault="00CA09F1" w:rsidP="00783236">
            <w:pPr>
              <w:jc w:val="center"/>
              <w:rPr>
                <w:rStyle w:val="SubtleEmphasis"/>
                <w:color w:val="auto"/>
                <w:sz w:val="16"/>
              </w:rPr>
            </w:pPr>
            <w:r w:rsidRPr="00CA09F1">
              <w:rPr>
                <w:rStyle w:val="SubtleEmphasis"/>
                <w:color w:val="auto"/>
                <w:sz w:val="16"/>
              </w:rPr>
              <w:t>8301 Aurora Ave</w:t>
            </w:r>
            <w:r w:rsidR="00783236">
              <w:rPr>
                <w:rStyle w:val="SubtleEmphasis"/>
                <w:color w:val="auto"/>
                <w:sz w:val="16"/>
              </w:rPr>
              <w:t xml:space="preserve">. </w:t>
            </w:r>
            <w:r w:rsidRPr="00CA09F1">
              <w:rPr>
                <w:rStyle w:val="SubtleEmphasis"/>
                <w:color w:val="auto"/>
                <w:sz w:val="16"/>
              </w:rPr>
              <w:t>Urbandale</w:t>
            </w:r>
          </w:p>
        </w:tc>
        <w:tc>
          <w:tcPr>
            <w:tcW w:w="2190" w:type="dxa"/>
            <w:vAlign w:val="center"/>
          </w:tcPr>
          <w:p w14:paraId="788A59F0" w14:textId="77777777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June 12-13</w:t>
            </w:r>
          </w:p>
          <w:p w14:paraId="6EA94472" w14:textId="77777777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Dean Ave.</w:t>
            </w:r>
          </w:p>
          <w:p w14:paraId="6EB3B7C8" w14:textId="7B94CE0A" w:rsidR="00CA09F1" w:rsidRPr="00CA09F1" w:rsidRDefault="00CA09F1" w:rsidP="0078323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color w:val="auto"/>
                <w:sz w:val="16"/>
              </w:rPr>
              <w:t>1917 Dean Ave</w:t>
            </w:r>
            <w:r w:rsidR="00783236">
              <w:rPr>
                <w:rStyle w:val="SubtleEmphasis"/>
                <w:color w:val="auto"/>
                <w:sz w:val="16"/>
              </w:rPr>
              <w:t>.</w:t>
            </w:r>
            <w:r>
              <w:rPr>
                <w:rStyle w:val="SubtleEmphasis"/>
                <w:color w:val="auto"/>
                <w:sz w:val="16"/>
              </w:rPr>
              <w:t xml:space="preserve"> </w:t>
            </w:r>
            <w:r w:rsidRPr="00CA09F1">
              <w:rPr>
                <w:rStyle w:val="SubtleEmphasis"/>
                <w:color w:val="auto"/>
                <w:sz w:val="16"/>
              </w:rPr>
              <w:t>Des Moines</w:t>
            </w:r>
          </w:p>
        </w:tc>
        <w:tc>
          <w:tcPr>
            <w:tcW w:w="2220" w:type="dxa"/>
            <w:vAlign w:val="center"/>
          </w:tcPr>
          <w:p w14:paraId="7F9E62EC" w14:textId="77777777" w:rsidR="00EE350D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June 17-18</w:t>
            </w:r>
          </w:p>
          <w:p w14:paraId="7A45EDE5" w14:textId="77777777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Dean Ave.</w:t>
            </w:r>
          </w:p>
          <w:p w14:paraId="67C45543" w14:textId="28964E30" w:rsidR="00CA09F1" w:rsidRPr="00CA09F1" w:rsidRDefault="00CA09F1" w:rsidP="0078323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color w:val="auto"/>
                <w:sz w:val="16"/>
              </w:rPr>
              <w:t>1917 Dean Ave</w:t>
            </w:r>
            <w:r w:rsidR="00783236">
              <w:rPr>
                <w:rStyle w:val="SubtleEmphasis"/>
                <w:color w:val="auto"/>
                <w:sz w:val="16"/>
              </w:rPr>
              <w:t>.</w:t>
            </w:r>
            <w:r>
              <w:rPr>
                <w:rStyle w:val="SubtleEmphasis"/>
                <w:color w:val="auto"/>
                <w:sz w:val="16"/>
              </w:rPr>
              <w:t xml:space="preserve"> </w:t>
            </w:r>
            <w:r w:rsidRPr="00CA09F1">
              <w:rPr>
                <w:rStyle w:val="SubtleEmphasis"/>
                <w:color w:val="auto"/>
                <w:sz w:val="16"/>
              </w:rPr>
              <w:t>Des Moines</w:t>
            </w:r>
          </w:p>
        </w:tc>
      </w:tr>
      <w:tr w:rsidR="004335A3" w:rsidRPr="00CA09F1" w14:paraId="67F5C442" w14:textId="77777777" w:rsidTr="004335A3">
        <w:trPr>
          <w:trHeight w:val="266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265E1E1" w14:textId="77777777" w:rsidR="00CA09F1" w:rsidRPr="00783236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783236">
              <w:rPr>
                <w:rStyle w:val="SubtleEmphasis"/>
                <w:i w:val="0"/>
                <w:color w:val="auto"/>
                <w:sz w:val="20"/>
              </w:rPr>
              <w:t>Time</w:t>
            </w:r>
          </w:p>
        </w:tc>
        <w:tc>
          <w:tcPr>
            <w:tcW w:w="13680" w:type="dxa"/>
            <w:gridSpan w:val="6"/>
            <w:vAlign w:val="center"/>
          </w:tcPr>
          <w:p w14:paraId="09974849" w14:textId="77777777" w:rsidR="00CA09F1" w:rsidRDefault="00CA09F1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proofErr w:type="spellStart"/>
            <w:r>
              <w:rPr>
                <w:rStyle w:val="SubtleEmphasis"/>
                <w:i w:val="0"/>
                <w:color w:val="auto"/>
              </w:rPr>
              <w:t>8:30am</w:t>
            </w:r>
            <w:proofErr w:type="spellEnd"/>
            <w:r>
              <w:rPr>
                <w:rStyle w:val="SubtleEmphasis"/>
                <w:i w:val="0"/>
                <w:color w:val="auto"/>
              </w:rPr>
              <w:t xml:space="preserve"> – </w:t>
            </w:r>
            <w:proofErr w:type="spellStart"/>
            <w:r>
              <w:rPr>
                <w:rStyle w:val="SubtleEmphasis"/>
                <w:i w:val="0"/>
                <w:color w:val="auto"/>
              </w:rPr>
              <w:t>3:30pm</w:t>
            </w:r>
            <w:proofErr w:type="spellEnd"/>
          </w:p>
          <w:p w14:paraId="0BBCE04E" w14:textId="77777777" w:rsidR="00CA09F1" w:rsidRPr="00CA09F1" w:rsidRDefault="00CA09F1" w:rsidP="00CA09F1">
            <w:pPr>
              <w:jc w:val="center"/>
              <w:rPr>
                <w:rStyle w:val="SubtleEmphasis"/>
                <w:color w:val="auto"/>
              </w:rPr>
            </w:pPr>
            <w:r w:rsidRPr="00CA09F1">
              <w:rPr>
                <w:rStyle w:val="SubtleEmphasis"/>
                <w:color w:val="auto"/>
                <w:sz w:val="18"/>
              </w:rPr>
              <w:t>1 hour lunch on your own</w:t>
            </w:r>
          </w:p>
        </w:tc>
      </w:tr>
    </w:tbl>
    <w:p w14:paraId="7E7AD3CC" w14:textId="2F6F288C" w:rsidR="00A726BB" w:rsidRPr="00A726BB" w:rsidRDefault="00A726BB" w:rsidP="00CA09F1">
      <w:pPr>
        <w:rPr>
          <w:rStyle w:val="SubtleEmphasis"/>
          <w:b/>
          <w:i w:val="0"/>
          <w:color w:val="auto"/>
          <w:u w:val="single"/>
        </w:rPr>
      </w:pPr>
      <w:r>
        <w:rPr>
          <w:rStyle w:val="SubtleEmphasis"/>
          <w:b/>
          <w:i w:val="0"/>
          <w:color w:val="auto"/>
          <w:u w:val="single"/>
        </w:rPr>
        <w:br/>
      </w:r>
      <w:r w:rsidR="00783236" w:rsidRPr="00A726BB">
        <w:rPr>
          <w:rStyle w:val="SubtleEmphasis"/>
          <w:b/>
          <w:i w:val="0"/>
          <w:color w:val="auto"/>
          <w:sz w:val="20"/>
          <w:u w:val="single"/>
        </w:rPr>
        <w:t>Registration</w:t>
      </w:r>
      <w:proofErr w:type="gramStart"/>
      <w:r w:rsidR="00783236" w:rsidRPr="00A726BB">
        <w:rPr>
          <w:rStyle w:val="SubtleEmphasis"/>
          <w:b/>
          <w:i w:val="0"/>
          <w:color w:val="auto"/>
          <w:sz w:val="20"/>
          <w:u w:val="single"/>
        </w:rPr>
        <w:t>:</w:t>
      </w:r>
      <w:proofErr w:type="gramEnd"/>
      <w:r w:rsidRPr="00A726BB">
        <w:rPr>
          <w:rStyle w:val="SubtleEmphasis"/>
          <w:b/>
          <w:i w:val="0"/>
          <w:color w:val="auto"/>
          <w:sz w:val="20"/>
          <w:u w:val="single"/>
        </w:rPr>
        <w:br/>
      </w:r>
      <w:r w:rsidRPr="004335A3">
        <w:rPr>
          <w:rStyle w:val="SubtleEmphasis"/>
          <w:b/>
          <w:color w:val="808080" w:themeColor="background1" w:themeShade="80"/>
          <w:sz w:val="20"/>
        </w:rPr>
        <w:t>Registration for these sessions will open in Infinite Campus in May and will close June 2</w:t>
      </w:r>
      <w:r w:rsidRPr="004335A3">
        <w:rPr>
          <w:rStyle w:val="SubtleEmphasis"/>
          <w:b/>
          <w:color w:val="808080" w:themeColor="background1" w:themeShade="80"/>
          <w:sz w:val="20"/>
          <w:vertAlign w:val="superscript"/>
        </w:rPr>
        <w:t>nd</w:t>
      </w:r>
      <w:r w:rsidRPr="004335A3">
        <w:rPr>
          <w:rStyle w:val="SubtleEmphasis"/>
          <w:b/>
          <w:color w:val="808080" w:themeColor="background1" w:themeShade="80"/>
          <w:sz w:val="20"/>
        </w:rPr>
        <w:t>.  Each session will be limited to 100 participants and will be allocated on a first come, first serve basis.</w:t>
      </w:r>
    </w:p>
    <w:p w14:paraId="5C4AF2BD" w14:textId="5EE782CB" w:rsidR="00A726BB" w:rsidRPr="00A726BB" w:rsidRDefault="00A726BB" w:rsidP="00CA09F1">
      <w:pPr>
        <w:rPr>
          <w:rStyle w:val="SubtleEmphasis"/>
          <w:i w:val="0"/>
          <w:color w:val="auto"/>
        </w:rPr>
      </w:pPr>
      <w:r>
        <w:rPr>
          <w:rStyle w:val="SubtleEmphasis"/>
          <w:b/>
          <w:i w:val="0"/>
          <w:color w:val="auto"/>
          <w:u w:val="single"/>
        </w:rPr>
        <w:t>Compensation</w:t>
      </w:r>
      <w:proofErr w:type="gramStart"/>
      <w:r>
        <w:rPr>
          <w:rStyle w:val="SubtleEmphasis"/>
          <w:b/>
          <w:i w:val="0"/>
          <w:color w:val="auto"/>
          <w:u w:val="single"/>
        </w:rPr>
        <w:t>:</w:t>
      </w:r>
      <w:proofErr w:type="gramEnd"/>
      <w:r>
        <w:rPr>
          <w:rStyle w:val="SubtleEmphasis"/>
          <w:b/>
          <w:i w:val="0"/>
          <w:color w:val="auto"/>
          <w:u w:val="single"/>
        </w:rPr>
        <w:br/>
      </w:r>
      <w:r w:rsidRPr="004335A3">
        <w:rPr>
          <w:rStyle w:val="SubtleEmphasis"/>
          <w:b/>
          <w:color w:val="808080" w:themeColor="background1" w:themeShade="80"/>
          <w:sz w:val="20"/>
        </w:rPr>
        <w:t xml:space="preserve">Schools may allocate building </w:t>
      </w:r>
      <w:proofErr w:type="spellStart"/>
      <w:r w:rsidRPr="004335A3">
        <w:rPr>
          <w:rStyle w:val="SubtleEmphasis"/>
          <w:b/>
          <w:color w:val="808080" w:themeColor="background1" w:themeShade="80"/>
          <w:sz w:val="20"/>
        </w:rPr>
        <w:t>EQ</w:t>
      </w:r>
      <w:proofErr w:type="spellEnd"/>
      <w:r w:rsidRPr="004335A3">
        <w:rPr>
          <w:rStyle w:val="SubtleEmphasis"/>
          <w:b/>
          <w:color w:val="808080" w:themeColor="background1" w:themeShade="80"/>
          <w:sz w:val="20"/>
        </w:rPr>
        <w:t xml:space="preserve"> funds to compensate teachers for attendance at one of these sessions.  The stipend for attendance at a 2-day session is $300 per our District Comprehensive Agreement.</w:t>
      </w:r>
    </w:p>
    <w:sectPr w:rsidR="00A726BB" w:rsidRPr="00A726BB" w:rsidSect="004335A3">
      <w:pgSz w:w="15840" w:h="12240" w:orient="landscape"/>
      <w:pgMar w:top="36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F2C"/>
    <w:multiLevelType w:val="hybridMultilevel"/>
    <w:tmpl w:val="F56AA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B21E94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6F3F"/>
    <w:multiLevelType w:val="hybridMultilevel"/>
    <w:tmpl w:val="F56AA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B21E94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8"/>
    <w:rsid w:val="0027386D"/>
    <w:rsid w:val="00413F96"/>
    <w:rsid w:val="004335A3"/>
    <w:rsid w:val="00783236"/>
    <w:rsid w:val="00A726BB"/>
    <w:rsid w:val="00BB7A35"/>
    <w:rsid w:val="00CA09F1"/>
    <w:rsid w:val="00EE350D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6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A08"/>
    <w:pPr>
      <w:pBdr>
        <w:bottom w:val="single" w:sz="8" w:space="4" w:color="5B697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A08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F06A0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6A08"/>
    <w:pPr>
      <w:ind w:left="720"/>
      <w:contextualSpacing/>
    </w:pPr>
  </w:style>
  <w:style w:type="table" w:styleId="TableGrid">
    <w:name w:val="Table Grid"/>
    <w:basedOn w:val="TableNormal"/>
    <w:uiPriority w:val="59"/>
    <w:rsid w:val="00EE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A08"/>
    <w:pPr>
      <w:pBdr>
        <w:bottom w:val="single" w:sz="8" w:space="4" w:color="5B697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A08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F06A0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6A08"/>
    <w:pPr>
      <w:ind w:left="720"/>
      <w:contextualSpacing/>
    </w:pPr>
  </w:style>
  <w:style w:type="table" w:styleId="TableGrid">
    <w:name w:val="Table Grid"/>
    <w:basedOn w:val="TableNormal"/>
    <w:uiPriority w:val="59"/>
    <w:rsid w:val="00EE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5B697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1AA00-4C3B-4E85-BF02-E9F27B902E98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AB3C69-E46C-4FC2-B740-64461E8F0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3097C-015B-4437-ACA1-55D94090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cp:lastPrinted>2013-01-21T15:45:00Z</cp:lastPrinted>
  <dcterms:created xsi:type="dcterms:W3CDTF">2013-01-11T21:36:00Z</dcterms:created>
  <dcterms:modified xsi:type="dcterms:W3CDTF">2013-01-21T16:09:00Z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