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CBF6" w14:textId="77777777" w:rsidR="000F2D04" w:rsidRPr="000F2D04" w:rsidRDefault="000F2D04" w:rsidP="002B3D18">
      <w:pPr>
        <w:pStyle w:val="NoSpacing"/>
        <w:ind w:hanging="450"/>
        <w:rPr>
          <w:rFonts w:ascii="Cambria" w:hAnsi="Cambria"/>
          <w:b/>
          <w:sz w:val="34"/>
          <w:szCs w:val="34"/>
          <w:u w:val="single"/>
        </w:rPr>
      </w:pPr>
      <w:r w:rsidRPr="000F2D04">
        <w:rPr>
          <w:rFonts w:ascii="Cambria" w:hAnsi="Cambria"/>
          <w:b/>
          <w:noProof/>
          <w:sz w:val="34"/>
          <w:szCs w:val="34"/>
          <w:u w:val="single"/>
        </w:rPr>
        <w:drawing>
          <wp:anchor distT="0" distB="0" distL="114300" distR="114300" simplePos="0" relativeHeight="251658240" behindDoc="1" locked="0" layoutInCell="1" allowOverlap="1" wp14:anchorId="76E83167" wp14:editId="638CF4FD">
            <wp:simplePos x="0" y="0"/>
            <wp:positionH relativeFrom="column">
              <wp:posOffset>8235315</wp:posOffset>
            </wp:positionH>
            <wp:positionV relativeFrom="paragraph">
              <wp:posOffset>-34290</wp:posOffset>
            </wp:positionV>
            <wp:extent cx="801955" cy="33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955" cy="335015"/>
                    </a:xfrm>
                    <a:prstGeom prst="rect">
                      <a:avLst/>
                    </a:prstGeom>
                  </pic:spPr>
                </pic:pic>
              </a:graphicData>
            </a:graphic>
            <wp14:sizeRelH relativeFrom="page">
              <wp14:pctWidth>0</wp14:pctWidth>
            </wp14:sizeRelH>
            <wp14:sizeRelV relativeFrom="page">
              <wp14:pctHeight>0</wp14:pctHeight>
            </wp14:sizeRelV>
          </wp:anchor>
        </w:drawing>
      </w:r>
      <w:r w:rsidR="00385888" w:rsidRPr="000F2D04">
        <w:rPr>
          <w:rFonts w:ascii="Cambria" w:hAnsi="Cambria"/>
          <w:b/>
          <w:sz w:val="34"/>
          <w:szCs w:val="34"/>
          <w:u w:val="single"/>
        </w:rPr>
        <w:t>Support</w:t>
      </w:r>
      <w:bookmarkStart w:id="0" w:name="_GoBack"/>
      <w:bookmarkEnd w:id="0"/>
      <w:r w:rsidR="00385888" w:rsidRPr="000F2D04">
        <w:rPr>
          <w:rFonts w:ascii="Cambria" w:hAnsi="Cambria"/>
          <w:b/>
          <w:sz w:val="34"/>
          <w:szCs w:val="34"/>
          <w:u w:val="single"/>
        </w:rPr>
        <w:t xml:space="preserve">ing the Implementation of the Journeys Materials: Classroom “Look </w:t>
      </w:r>
      <w:proofErr w:type="spellStart"/>
      <w:r w:rsidR="00385888" w:rsidRPr="000F2D04">
        <w:rPr>
          <w:rFonts w:ascii="Cambria" w:hAnsi="Cambria"/>
          <w:b/>
          <w:sz w:val="34"/>
          <w:szCs w:val="34"/>
          <w:u w:val="single"/>
        </w:rPr>
        <w:t>Fors</w:t>
      </w:r>
      <w:proofErr w:type="spellEnd"/>
      <w:r w:rsidR="00385888" w:rsidRPr="000F2D04">
        <w:rPr>
          <w:rFonts w:ascii="Cambria" w:hAnsi="Cambria"/>
          <w:b/>
          <w:sz w:val="34"/>
          <w:szCs w:val="34"/>
          <w:u w:val="single"/>
        </w:rPr>
        <w:t>”</w:t>
      </w:r>
    </w:p>
    <w:p w14:paraId="073A1C40" w14:textId="478B7E60" w:rsidR="00385888" w:rsidRPr="000F2D04" w:rsidRDefault="00385888" w:rsidP="00385888">
      <w:pPr>
        <w:pStyle w:val="NoSpacing"/>
        <w:rPr>
          <w:rFonts w:ascii="Cambria" w:hAnsi="Cambria"/>
          <w:sz w:val="2"/>
        </w:rPr>
      </w:pPr>
      <w:r w:rsidRPr="000F2D04">
        <w:rPr>
          <w:rFonts w:ascii="Cambria" w:hAnsi="Cambria"/>
          <w:sz w:val="12"/>
        </w:rPr>
        <w:br/>
      </w:r>
    </w:p>
    <w:tbl>
      <w:tblPr>
        <w:tblStyle w:val="TableGrid"/>
        <w:tblW w:w="15300" w:type="dxa"/>
        <w:tblInd w:w="-342" w:type="dxa"/>
        <w:tblLook w:val="04A0" w:firstRow="1" w:lastRow="0" w:firstColumn="1" w:lastColumn="0" w:noHBand="0" w:noVBand="1"/>
      </w:tblPr>
      <w:tblGrid>
        <w:gridCol w:w="294"/>
        <w:gridCol w:w="4026"/>
        <w:gridCol w:w="6300"/>
        <w:gridCol w:w="4680"/>
      </w:tblGrid>
      <w:tr w:rsidR="002B3D18" w:rsidRPr="00EB731A" w14:paraId="1CFCF851" w14:textId="77777777" w:rsidTr="002B3D18">
        <w:tc>
          <w:tcPr>
            <w:tcW w:w="294" w:type="dxa"/>
            <w:shd w:val="clear" w:color="auto" w:fill="000000" w:themeFill="text1"/>
            <w:vAlign w:val="center"/>
          </w:tcPr>
          <w:p w14:paraId="6221AEE9" w14:textId="77777777" w:rsidR="002B3D18" w:rsidRPr="002B3D18" w:rsidRDefault="002B3D18" w:rsidP="002B3D18">
            <w:pPr>
              <w:jc w:val="center"/>
              <w:rPr>
                <w:rFonts w:ascii="Cambria" w:hAnsi="Cambria"/>
                <w:sz w:val="14"/>
                <w:szCs w:val="20"/>
              </w:rPr>
            </w:pPr>
          </w:p>
        </w:tc>
        <w:tc>
          <w:tcPr>
            <w:tcW w:w="4026" w:type="dxa"/>
            <w:shd w:val="clear" w:color="auto" w:fill="000000" w:themeFill="text1"/>
          </w:tcPr>
          <w:p w14:paraId="1CFCF84E" w14:textId="5CB335BE" w:rsidR="002B3D18" w:rsidRPr="000F2D04" w:rsidRDefault="002B3D18" w:rsidP="00F806E1">
            <w:pPr>
              <w:jc w:val="center"/>
              <w:rPr>
                <w:rFonts w:ascii="Cambria" w:hAnsi="Cambria"/>
                <w:sz w:val="18"/>
                <w:szCs w:val="20"/>
              </w:rPr>
            </w:pPr>
            <w:r w:rsidRPr="000F2D04">
              <w:rPr>
                <w:rFonts w:ascii="Cambria" w:hAnsi="Cambria"/>
                <w:sz w:val="18"/>
                <w:szCs w:val="20"/>
              </w:rPr>
              <w:t>Critical Success Factors for Implementation</w:t>
            </w:r>
          </w:p>
        </w:tc>
        <w:tc>
          <w:tcPr>
            <w:tcW w:w="6300" w:type="dxa"/>
            <w:shd w:val="clear" w:color="auto" w:fill="000000" w:themeFill="text1"/>
          </w:tcPr>
          <w:p w14:paraId="1CFCF84F" w14:textId="77777777" w:rsidR="002B3D18" w:rsidRPr="000F2D04" w:rsidRDefault="002B3D18" w:rsidP="00F806E1">
            <w:pPr>
              <w:jc w:val="center"/>
              <w:rPr>
                <w:rFonts w:ascii="Cambria" w:hAnsi="Cambria"/>
                <w:sz w:val="18"/>
                <w:szCs w:val="20"/>
              </w:rPr>
            </w:pPr>
            <w:r w:rsidRPr="000F2D04">
              <w:rPr>
                <w:rFonts w:ascii="Cambria" w:hAnsi="Cambria"/>
                <w:sz w:val="18"/>
                <w:szCs w:val="20"/>
              </w:rPr>
              <w:t>Look-</w:t>
            </w:r>
            <w:proofErr w:type="spellStart"/>
            <w:r w:rsidRPr="000F2D04">
              <w:rPr>
                <w:rFonts w:ascii="Cambria" w:hAnsi="Cambria"/>
                <w:sz w:val="18"/>
                <w:szCs w:val="20"/>
              </w:rPr>
              <w:t>Fors</w:t>
            </w:r>
            <w:proofErr w:type="spellEnd"/>
            <w:r w:rsidRPr="000F2D04">
              <w:rPr>
                <w:rFonts w:ascii="Cambria" w:hAnsi="Cambria"/>
                <w:sz w:val="18"/>
                <w:szCs w:val="20"/>
              </w:rPr>
              <w:t xml:space="preserve"> in the Classroom</w:t>
            </w:r>
          </w:p>
        </w:tc>
        <w:tc>
          <w:tcPr>
            <w:tcW w:w="4680" w:type="dxa"/>
            <w:shd w:val="clear" w:color="auto" w:fill="000000" w:themeFill="text1"/>
          </w:tcPr>
          <w:p w14:paraId="1CFCF850" w14:textId="4A4DF914" w:rsidR="002B3D18" w:rsidRPr="000F2D04" w:rsidRDefault="002B3D18" w:rsidP="00F806E1">
            <w:pPr>
              <w:jc w:val="center"/>
              <w:rPr>
                <w:rFonts w:ascii="Cambria" w:hAnsi="Cambria"/>
                <w:sz w:val="18"/>
                <w:szCs w:val="20"/>
              </w:rPr>
            </w:pPr>
            <w:r w:rsidRPr="000F2D04">
              <w:rPr>
                <w:rFonts w:ascii="Cambria" w:hAnsi="Cambria"/>
                <w:sz w:val="18"/>
                <w:szCs w:val="20"/>
              </w:rPr>
              <w:t>Support Structures for Implementation</w:t>
            </w:r>
          </w:p>
        </w:tc>
      </w:tr>
      <w:tr w:rsidR="002B3D18" w:rsidRPr="00EB731A" w14:paraId="1CFCF856" w14:textId="77777777" w:rsidTr="002B3D18">
        <w:tc>
          <w:tcPr>
            <w:tcW w:w="294" w:type="dxa"/>
            <w:vAlign w:val="center"/>
          </w:tcPr>
          <w:p w14:paraId="508A20EC" w14:textId="57CF2426" w:rsidR="002B3D18" w:rsidRPr="002B3D18" w:rsidRDefault="002B3D18" w:rsidP="002B3D18">
            <w:pPr>
              <w:jc w:val="center"/>
              <w:rPr>
                <w:rFonts w:ascii="Cambria" w:hAnsi="Cambria"/>
                <w:sz w:val="14"/>
                <w:szCs w:val="18"/>
              </w:rPr>
            </w:pPr>
            <w:r w:rsidRPr="002B3D18">
              <w:rPr>
                <w:rFonts w:ascii="Cambria" w:hAnsi="Cambria"/>
                <w:sz w:val="14"/>
                <w:szCs w:val="18"/>
              </w:rPr>
              <w:t>1</w:t>
            </w:r>
          </w:p>
        </w:tc>
        <w:tc>
          <w:tcPr>
            <w:tcW w:w="4026" w:type="dxa"/>
          </w:tcPr>
          <w:p w14:paraId="1CFCF852" w14:textId="41400845" w:rsidR="002B3D18" w:rsidRPr="00803DA4" w:rsidRDefault="002B3D18" w:rsidP="0089140F">
            <w:pPr>
              <w:rPr>
                <w:rFonts w:ascii="Cambria" w:hAnsi="Cambria"/>
                <w:sz w:val="18"/>
                <w:szCs w:val="18"/>
              </w:rPr>
            </w:pPr>
            <w:r w:rsidRPr="00803DA4">
              <w:rPr>
                <w:rFonts w:ascii="Cambria" w:hAnsi="Cambria"/>
                <w:sz w:val="18"/>
                <w:szCs w:val="18"/>
              </w:rPr>
              <w:t xml:space="preserve">The </w:t>
            </w:r>
            <w:r w:rsidRPr="00803DA4">
              <w:rPr>
                <w:rFonts w:ascii="Cambria" w:hAnsi="Cambria"/>
                <w:b/>
                <w:sz w:val="18"/>
                <w:szCs w:val="18"/>
              </w:rPr>
              <w:t>anthology stories</w:t>
            </w:r>
            <w:r w:rsidRPr="00803DA4">
              <w:rPr>
                <w:rFonts w:ascii="Cambria" w:hAnsi="Cambria"/>
                <w:sz w:val="18"/>
                <w:szCs w:val="18"/>
              </w:rPr>
              <w:t xml:space="preserve"> support explicit instruction during whole group and/or small group teaching of the IACC Reading Standards.</w:t>
            </w:r>
          </w:p>
        </w:tc>
        <w:tc>
          <w:tcPr>
            <w:tcW w:w="6300" w:type="dxa"/>
          </w:tcPr>
          <w:p w14:paraId="1CFCF853" w14:textId="77777777" w:rsidR="002B3D18" w:rsidRPr="00803DA4" w:rsidRDefault="002B3D18" w:rsidP="00385888">
            <w:pPr>
              <w:pStyle w:val="ListParagraph"/>
              <w:numPr>
                <w:ilvl w:val="0"/>
                <w:numId w:val="5"/>
              </w:numPr>
              <w:ind w:left="162" w:hanging="180"/>
              <w:rPr>
                <w:rFonts w:ascii="Cambria" w:hAnsi="Cambria"/>
                <w:sz w:val="18"/>
                <w:szCs w:val="18"/>
              </w:rPr>
            </w:pPr>
            <w:r w:rsidRPr="00803DA4">
              <w:rPr>
                <w:rFonts w:ascii="Cambria" w:hAnsi="Cambria"/>
                <w:sz w:val="18"/>
                <w:szCs w:val="18"/>
              </w:rPr>
              <w:t>Explicit comprehension instruction provided in the Whole Group Tab is used for the Main Selection.</w:t>
            </w:r>
          </w:p>
          <w:p w14:paraId="1CFCF854" w14:textId="50F78119" w:rsidR="002B3D18" w:rsidRPr="00803DA4" w:rsidRDefault="002B3D18" w:rsidP="00385888">
            <w:pPr>
              <w:pStyle w:val="ListParagraph"/>
              <w:numPr>
                <w:ilvl w:val="0"/>
                <w:numId w:val="5"/>
              </w:numPr>
              <w:ind w:left="162" w:hanging="180"/>
              <w:rPr>
                <w:rFonts w:ascii="Cambria" w:hAnsi="Cambria"/>
                <w:sz w:val="18"/>
                <w:szCs w:val="18"/>
              </w:rPr>
            </w:pPr>
            <w:r w:rsidRPr="00803DA4">
              <w:rPr>
                <w:rFonts w:ascii="Cambria" w:hAnsi="Cambria"/>
                <w:sz w:val="18"/>
                <w:szCs w:val="18"/>
              </w:rPr>
              <w:t>Students are utilizing the</w:t>
            </w:r>
            <w:r>
              <w:rPr>
                <w:rFonts w:ascii="Cambria" w:hAnsi="Cambria"/>
                <w:sz w:val="18"/>
                <w:szCs w:val="18"/>
              </w:rPr>
              <w:t xml:space="preserve"> student</w:t>
            </w:r>
            <w:r w:rsidRPr="00803DA4">
              <w:rPr>
                <w:rFonts w:ascii="Cambria" w:hAnsi="Cambria"/>
                <w:sz w:val="18"/>
                <w:szCs w:val="18"/>
              </w:rPr>
              <w:t xml:space="preserve"> anthology during this instruction.</w:t>
            </w:r>
          </w:p>
        </w:tc>
        <w:tc>
          <w:tcPr>
            <w:tcW w:w="4680" w:type="dxa"/>
          </w:tcPr>
          <w:p w14:paraId="1CFCF855" w14:textId="490189AF" w:rsidR="002B3D18" w:rsidRPr="00803DA4" w:rsidRDefault="002B3D18" w:rsidP="00385888">
            <w:pPr>
              <w:pStyle w:val="ListParagraph"/>
              <w:numPr>
                <w:ilvl w:val="0"/>
                <w:numId w:val="5"/>
              </w:numPr>
              <w:ind w:left="162" w:hanging="180"/>
              <w:rPr>
                <w:rFonts w:ascii="Cambria" w:hAnsi="Cambria"/>
                <w:sz w:val="18"/>
                <w:szCs w:val="18"/>
              </w:rPr>
            </w:pPr>
            <w:r w:rsidRPr="00803DA4">
              <w:rPr>
                <w:rFonts w:ascii="Cambria" w:hAnsi="Cambria"/>
                <w:sz w:val="18"/>
                <w:szCs w:val="18"/>
              </w:rPr>
              <w:t>Instructional Coach provides in-class modeling of explicit comprehension instruction utilizing the Whole Group Tab and Main Selection.</w:t>
            </w:r>
          </w:p>
        </w:tc>
      </w:tr>
      <w:tr w:rsidR="002B3D18" w:rsidRPr="00EB731A" w14:paraId="1CFCF85D" w14:textId="77777777" w:rsidTr="002B3D18">
        <w:tc>
          <w:tcPr>
            <w:tcW w:w="294" w:type="dxa"/>
            <w:vAlign w:val="center"/>
          </w:tcPr>
          <w:p w14:paraId="3B2BA555" w14:textId="40AAB9B8" w:rsidR="002B3D18" w:rsidRPr="002B3D18" w:rsidRDefault="002B3D18" w:rsidP="002B3D18">
            <w:pPr>
              <w:jc w:val="center"/>
              <w:rPr>
                <w:rFonts w:ascii="Cambria" w:hAnsi="Cambria"/>
                <w:sz w:val="14"/>
                <w:szCs w:val="18"/>
              </w:rPr>
            </w:pPr>
            <w:r w:rsidRPr="002B3D18">
              <w:rPr>
                <w:rFonts w:ascii="Cambria" w:hAnsi="Cambria"/>
                <w:sz w:val="14"/>
                <w:szCs w:val="18"/>
              </w:rPr>
              <w:t>2</w:t>
            </w:r>
          </w:p>
        </w:tc>
        <w:tc>
          <w:tcPr>
            <w:tcW w:w="4026" w:type="dxa"/>
          </w:tcPr>
          <w:p w14:paraId="1CFCF857" w14:textId="5E1DE01D" w:rsidR="002B3D18" w:rsidRPr="00803DA4" w:rsidRDefault="002B3D18" w:rsidP="0089140F">
            <w:pPr>
              <w:rPr>
                <w:rFonts w:ascii="Cambria" w:hAnsi="Cambria"/>
                <w:sz w:val="18"/>
                <w:szCs w:val="18"/>
              </w:rPr>
            </w:pPr>
            <w:r w:rsidRPr="00803DA4">
              <w:rPr>
                <w:rFonts w:ascii="Cambria" w:hAnsi="Cambria"/>
                <w:sz w:val="18"/>
                <w:szCs w:val="18"/>
              </w:rPr>
              <w:t>The</w:t>
            </w:r>
            <w:r w:rsidRPr="00803DA4">
              <w:rPr>
                <w:rFonts w:ascii="Cambria" w:hAnsi="Cambria"/>
                <w:i/>
                <w:sz w:val="18"/>
                <w:szCs w:val="18"/>
              </w:rPr>
              <w:t xml:space="preserve"> Journeys</w:t>
            </w:r>
            <w:r w:rsidRPr="00803DA4">
              <w:rPr>
                <w:rFonts w:ascii="Cambria" w:hAnsi="Cambria"/>
                <w:sz w:val="18"/>
                <w:szCs w:val="18"/>
              </w:rPr>
              <w:t xml:space="preserve"> </w:t>
            </w:r>
            <w:r w:rsidRPr="00803DA4">
              <w:rPr>
                <w:rFonts w:ascii="Cambria" w:hAnsi="Cambria"/>
                <w:b/>
                <w:sz w:val="18"/>
                <w:szCs w:val="18"/>
              </w:rPr>
              <w:t>leveled readers</w:t>
            </w:r>
            <w:r w:rsidRPr="00803DA4">
              <w:rPr>
                <w:rFonts w:ascii="Cambria" w:hAnsi="Cambria"/>
                <w:sz w:val="18"/>
                <w:szCs w:val="18"/>
              </w:rPr>
              <w:t xml:space="preserve"> support differentiated instruction based on student need during small group instruction.  If students are highly discrepant, additional teacher scaffolding will be needed to support student acquisition of the appropriate leveled reader.</w:t>
            </w:r>
          </w:p>
        </w:tc>
        <w:tc>
          <w:tcPr>
            <w:tcW w:w="6300" w:type="dxa"/>
          </w:tcPr>
          <w:p w14:paraId="39E5C551" w14:textId="0EFD4875" w:rsidR="002B3D18" w:rsidRDefault="002B3D18" w:rsidP="00385888">
            <w:pPr>
              <w:pStyle w:val="ListParagraph"/>
              <w:numPr>
                <w:ilvl w:val="0"/>
                <w:numId w:val="5"/>
              </w:numPr>
              <w:ind w:left="162" w:hanging="180"/>
              <w:rPr>
                <w:rFonts w:ascii="Cambria" w:hAnsi="Cambria"/>
                <w:sz w:val="18"/>
                <w:szCs w:val="18"/>
              </w:rPr>
            </w:pPr>
            <w:r w:rsidRPr="00803DA4">
              <w:rPr>
                <w:rFonts w:ascii="Cambria" w:hAnsi="Cambria"/>
                <w:sz w:val="18"/>
                <w:szCs w:val="18"/>
              </w:rPr>
              <w:t xml:space="preserve">Differentiated, </w:t>
            </w:r>
            <w:proofErr w:type="spellStart"/>
            <w:r w:rsidRPr="00803DA4">
              <w:rPr>
                <w:rFonts w:ascii="Cambria" w:hAnsi="Cambria"/>
                <w:sz w:val="18"/>
                <w:szCs w:val="18"/>
              </w:rPr>
              <w:t>scaffolded</w:t>
            </w:r>
            <w:proofErr w:type="spellEnd"/>
            <w:r w:rsidRPr="00803DA4">
              <w:rPr>
                <w:rFonts w:ascii="Cambria" w:hAnsi="Cambria"/>
                <w:sz w:val="18"/>
                <w:szCs w:val="18"/>
              </w:rPr>
              <w:t xml:space="preserve">, explicit instruction </w:t>
            </w:r>
            <w:r>
              <w:rPr>
                <w:rFonts w:ascii="Cambria" w:hAnsi="Cambria"/>
                <w:sz w:val="18"/>
                <w:szCs w:val="18"/>
              </w:rPr>
              <w:t>is provided utilizing the Small Group Tab:</w:t>
            </w:r>
          </w:p>
          <w:p w14:paraId="3BE214C1" w14:textId="77777777" w:rsidR="002B3D18" w:rsidRDefault="002B3D18" w:rsidP="000F2D04">
            <w:pPr>
              <w:pStyle w:val="ListParagraph"/>
              <w:numPr>
                <w:ilvl w:val="1"/>
                <w:numId w:val="5"/>
              </w:numPr>
              <w:ind w:left="432" w:hanging="180"/>
              <w:rPr>
                <w:rFonts w:ascii="Cambria" w:hAnsi="Cambria"/>
                <w:sz w:val="18"/>
                <w:szCs w:val="18"/>
              </w:rPr>
            </w:pPr>
            <w:r>
              <w:rPr>
                <w:rFonts w:ascii="Cambria" w:hAnsi="Cambria"/>
                <w:sz w:val="18"/>
                <w:szCs w:val="18"/>
              </w:rPr>
              <w:t>Day 1: Vocabulary Reader</w:t>
            </w:r>
          </w:p>
          <w:p w14:paraId="05C4E89C" w14:textId="77777777" w:rsidR="002B3D18" w:rsidRDefault="002B3D18" w:rsidP="000F2D04">
            <w:pPr>
              <w:pStyle w:val="ListParagraph"/>
              <w:numPr>
                <w:ilvl w:val="1"/>
                <w:numId w:val="5"/>
              </w:numPr>
              <w:ind w:left="432" w:hanging="180"/>
              <w:rPr>
                <w:rFonts w:ascii="Cambria" w:hAnsi="Cambria"/>
                <w:sz w:val="18"/>
                <w:szCs w:val="18"/>
              </w:rPr>
            </w:pPr>
            <w:r>
              <w:rPr>
                <w:rFonts w:ascii="Cambria" w:hAnsi="Cambria"/>
                <w:sz w:val="18"/>
                <w:szCs w:val="18"/>
              </w:rPr>
              <w:t>Day 2: Leveled Practice (Grab and Go)</w:t>
            </w:r>
          </w:p>
          <w:p w14:paraId="5163EB56" w14:textId="77777777" w:rsidR="002B3D18" w:rsidRDefault="002B3D18" w:rsidP="000F2D04">
            <w:pPr>
              <w:pStyle w:val="ListParagraph"/>
              <w:numPr>
                <w:ilvl w:val="1"/>
                <w:numId w:val="5"/>
              </w:numPr>
              <w:ind w:left="432" w:hanging="180"/>
              <w:rPr>
                <w:rFonts w:ascii="Cambria" w:hAnsi="Cambria"/>
                <w:sz w:val="18"/>
                <w:szCs w:val="18"/>
              </w:rPr>
            </w:pPr>
            <w:r>
              <w:rPr>
                <w:rFonts w:ascii="Cambria" w:hAnsi="Cambria"/>
                <w:sz w:val="18"/>
                <w:szCs w:val="18"/>
              </w:rPr>
              <w:t>Day 3: Leveled Reader</w:t>
            </w:r>
          </w:p>
          <w:p w14:paraId="46F69350" w14:textId="721807BE" w:rsidR="002B3D18" w:rsidRPr="00385888" w:rsidRDefault="002B3D18" w:rsidP="000F2D04">
            <w:pPr>
              <w:pStyle w:val="ListParagraph"/>
              <w:numPr>
                <w:ilvl w:val="1"/>
                <w:numId w:val="5"/>
              </w:numPr>
              <w:ind w:left="432" w:hanging="180"/>
              <w:rPr>
                <w:rFonts w:ascii="Cambria" w:hAnsi="Cambria"/>
                <w:i/>
                <w:sz w:val="18"/>
                <w:szCs w:val="18"/>
              </w:rPr>
            </w:pPr>
            <w:r>
              <w:rPr>
                <w:rFonts w:ascii="Cambria" w:hAnsi="Cambria"/>
                <w:sz w:val="18"/>
                <w:szCs w:val="18"/>
              </w:rPr>
              <w:t xml:space="preserve">Day 4: Differentiated Voc. Strategies </w:t>
            </w:r>
            <w:r w:rsidRPr="00385888">
              <w:rPr>
                <w:rFonts w:ascii="Cambria" w:hAnsi="Cambria"/>
                <w:i/>
                <w:sz w:val="18"/>
                <w:szCs w:val="18"/>
              </w:rPr>
              <w:t xml:space="preserve">**Great place for additional instruction with the </w:t>
            </w:r>
            <w:r>
              <w:rPr>
                <w:rFonts w:ascii="Cambria" w:hAnsi="Cambria"/>
                <w:i/>
                <w:sz w:val="18"/>
                <w:szCs w:val="18"/>
              </w:rPr>
              <w:t xml:space="preserve">Journeys </w:t>
            </w:r>
            <w:r w:rsidRPr="00385888">
              <w:rPr>
                <w:rFonts w:ascii="Cambria" w:hAnsi="Cambria"/>
                <w:i/>
                <w:sz w:val="18"/>
                <w:szCs w:val="18"/>
              </w:rPr>
              <w:t xml:space="preserve">Leveled Reader or additional leveled </w:t>
            </w:r>
            <w:r>
              <w:rPr>
                <w:rFonts w:ascii="Cambria" w:hAnsi="Cambria"/>
                <w:i/>
                <w:sz w:val="18"/>
                <w:szCs w:val="18"/>
              </w:rPr>
              <w:t>texts</w:t>
            </w:r>
            <w:r w:rsidRPr="00385888">
              <w:rPr>
                <w:rFonts w:ascii="Cambria" w:hAnsi="Cambria"/>
                <w:i/>
                <w:sz w:val="18"/>
                <w:szCs w:val="18"/>
              </w:rPr>
              <w:t>.</w:t>
            </w:r>
          </w:p>
          <w:p w14:paraId="1CFCF85A" w14:textId="10C667DA" w:rsidR="002B3D18" w:rsidRPr="00803DA4" w:rsidRDefault="002B3D18" w:rsidP="000F2D04">
            <w:pPr>
              <w:pStyle w:val="ListParagraph"/>
              <w:numPr>
                <w:ilvl w:val="1"/>
                <w:numId w:val="5"/>
              </w:numPr>
              <w:ind w:left="432" w:hanging="180"/>
              <w:rPr>
                <w:rFonts w:ascii="Cambria" w:hAnsi="Cambria"/>
                <w:sz w:val="18"/>
                <w:szCs w:val="18"/>
              </w:rPr>
            </w:pPr>
            <w:r>
              <w:rPr>
                <w:rFonts w:ascii="Cambria" w:hAnsi="Cambria"/>
                <w:sz w:val="18"/>
                <w:szCs w:val="18"/>
              </w:rPr>
              <w:t xml:space="preserve">Day 5: </w:t>
            </w:r>
            <w:proofErr w:type="spellStart"/>
            <w:r>
              <w:rPr>
                <w:rFonts w:ascii="Cambria" w:hAnsi="Cambria"/>
                <w:sz w:val="18"/>
                <w:szCs w:val="18"/>
              </w:rPr>
              <w:t>Reteaching</w:t>
            </w:r>
            <w:proofErr w:type="spellEnd"/>
          </w:p>
        </w:tc>
        <w:tc>
          <w:tcPr>
            <w:tcW w:w="4680" w:type="dxa"/>
          </w:tcPr>
          <w:p w14:paraId="51A51319" w14:textId="2B40703E" w:rsidR="002B3D18" w:rsidRDefault="002B3D18" w:rsidP="00385888">
            <w:pPr>
              <w:pStyle w:val="ListParagraph"/>
              <w:numPr>
                <w:ilvl w:val="0"/>
                <w:numId w:val="5"/>
              </w:numPr>
              <w:ind w:left="162" w:hanging="180"/>
              <w:rPr>
                <w:rFonts w:ascii="Cambria" w:hAnsi="Cambria"/>
                <w:sz w:val="18"/>
                <w:szCs w:val="18"/>
              </w:rPr>
            </w:pPr>
            <w:r w:rsidRPr="00803DA4">
              <w:rPr>
                <w:rFonts w:ascii="Cambria" w:hAnsi="Cambria"/>
                <w:sz w:val="18"/>
                <w:szCs w:val="18"/>
              </w:rPr>
              <w:t>Instructional Coach provides in-class modeling utilizing the Small Group Tab</w:t>
            </w:r>
            <w:r>
              <w:rPr>
                <w:rFonts w:ascii="Cambria" w:hAnsi="Cambria"/>
                <w:sz w:val="18"/>
                <w:szCs w:val="18"/>
              </w:rPr>
              <w:t xml:space="preserve"> to building an understanding of effective scaffolding for our struggling students</w:t>
            </w:r>
            <w:r w:rsidRPr="00803DA4">
              <w:rPr>
                <w:rFonts w:ascii="Cambria" w:hAnsi="Cambria"/>
                <w:sz w:val="18"/>
                <w:szCs w:val="18"/>
              </w:rPr>
              <w:t>.</w:t>
            </w:r>
          </w:p>
          <w:p w14:paraId="0C0E7351" w14:textId="176B0FE8" w:rsidR="002B3D18" w:rsidRDefault="002B3D18" w:rsidP="00385888">
            <w:pPr>
              <w:pStyle w:val="ListParagraph"/>
              <w:numPr>
                <w:ilvl w:val="0"/>
                <w:numId w:val="5"/>
              </w:numPr>
              <w:ind w:left="162" w:hanging="180"/>
              <w:rPr>
                <w:rFonts w:ascii="Cambria" w:hAnsi="Cambria"/>
                <w:sz w:val="18"/>
                <w:szCs w:val="18"/>
              </w:rPr>
            </w:pPr>
            <w:r>
              <w:rPr>
                <w:rFonts w:ascii="Cambria" w:hAnsi="Cambria"/>
                <w:sz w:val="18"/>
                <w:szCs w:val="18"/>
              </w:rPr>
              <w:t>Support is provided in developing an understanding that small group time is used for a combination of guided reading and skill-focused instruction.</w:t>
            </w:r>
          </w:p>
          <w:p w14:paraId="1CFCF85C" w14:textId="739090C3" w:rsidR="002B3D18" w:rsidRPr="00803DA4" w:rsidRDefault="002B3D18" w:rsidP="00385888">
            <w:pPr>
              <w:pStyle w:val="ListParagraph"/>
              <w:numPr>
                <w:ilvl w:val="0"/>
                <w:numId w:val="5"/>
              </w:numPr>
              <w:ind w:left="162" w:hanging="180"/>
              <w:rPr>
                <w:rFonts w:ascii="Cambria" w:hAnsi="Cambria"/>
                <w:sz w:val="18"/>
                <w:szCs w:val="18"/>
              </w:rPr>
            </w:pPr>
            <w:r>
              <w:rPr>
                <w:rFonts w:ascii="Cambria" w:hAnsi="Cambria"/>
                <w:sz w:val="18"/>
                <w:szCs w:val="18"/>
              </w:rPr>
              <w:t>Assistance is provided regarding scheduling in an effort to support consistent small group instruction.</w:t>
            </w:r>
          </w:p>
        </w:tc>
      </w:tr>
      <w:tr w:rsidR="002B3D18" w:rsidRPr="00EB731A" w14:paraId="1CFCF863" w14:textId="77777777" w:rsidTr="002B3D18">
        <w:tc>
          <w:tcPr>
            <w:tcW w:w="294" w:type="dxa"/>
            <w:vAlign w:val="center"/>
          </w:tcPr>
          <w:p w14:paraId="07520097" w14:textId="70A3A19B" w:rsidR="002B3D18" w:rsidRPr="002B3D18" w:rsidRDefault="002B3D18" w:rsidP="002B3D18">
            <w:pPr>
              <w:jc w:val="center"/>
              <w:rPr>
                <w:rFonts w:ascii="Cambria" w:hAnsi="Cambria"/>
                <w:sz w:val="14"/>
                <w:szCs w:val="18"/>
              </w:rPr>
            </w:pPr>
            <w:r w:rsidRPr="002B3D18">
              <w:rPr>
                <w:rFonts w:ascii="Cambria" w:hAnsi="Cambria"/>
                <w:sz w:val="14"/>
                <w:szCs w:val="18"/>
              </w:rPr>
              <w:t>3</w:t>
            </w:r>
          </w:p>
        </w:tc>
        <w:tc>
          <w:tcPr>
            <w:tcW w:w="4026" w:type="dxa"/>
          </w:tcPr>
          <w:p w14:paraId="1CFCF85E" w14:textId="14727DD5" w:rsidR="002B3D18" w:rsidRPr="00803DA4" w:rsidRDefault="002B3D18" w:rsidP="000F2D04">
            <w:pPr>
              <w:rPr>
                <w:rFonts w:ascii="Cambria" w:hAnsi="Cambria"/>
                <w:sz w:val="18"/>
                <w:szCs w:val="18"/>
              </w:rPr>
            </w:pPr>
            <w:r w:rsidRPr="00803DA4">
              <w:rPr>
                <w:rFonts w:ascii="Cambria" w:hAnsi="Cambria"/>
                <w:sz w:val="18"/>
                <w:szCs w:val="18"/>
              </w:rPr>
              <w:t xml:space="preserve">The </w:t>
            </w:r>
            <w:r w:rsidRPr="00803DA4">
              <w:rPr>
                <w:rFonts w:ascii="Cambria" w:hAnsi="Cambria"/>
                <w:i/>
                <w:sz w:val="18"/>
                <w:szCs w:val="18"/>
              </w:rPr>
              <w:t>Journeys</w:t>
            </w:r>
            <w:r w:rsidRPr="00803DA4">
              <w:rPr>
                <w:rFonts w:ascii="Cambria" w:hAnsi="Cambria"/>
                <w:sz w:val="18"/>
                <w:szCs w:val="18"/>
              </w:rPr>
              <w:t xml:space="preserve"> </w:t>
            </w:r>
            <w:r w:rsidRPr="00803DA4">
              <w:rPr>
                <w:rFonts w:ascii="Cambria" w:hAnsi="Cambria"/>
                <w:b/>
                <w:sz w:val="18"/>
                <w:szCs w:val="18"/>
              </w:rPr>
              <w:t xml:space="preserve">target vocabulary </w:t>
            </w:r>
            <w:r w:rsidRPr="00803DA4">
              <w:rPr>
                <w:rFonts w:ascii="Cambria" w:hAnsi="Cambria"/>
                <w:sz w:val="18"/>
                <w:szCs w:val="18"/>
              </w:rPr>
              <w:t xml:space="preserve">for each lesson utilizes strategies for direct vocabulary instruction (guidance provided in the </w:t>
            </w:r>
            <w:r w:rsidRPr="00803DA4">
              <w:rPr>
                <w:rFonts w:ascii="Cambria" w:hAnsi="Cambria"/>
                <w:i/>
                <w:sz w:val="18"/>
                <w:szCs w:val="18"/>
              </w:rPr>
              <w:t>Word Study Teacher’s Guide</w:t>
            </w:r>
            <w:r w:rsidRPr="00803DA4">
              <w:rPr>
                <w:rFonts w:ascii="Cambria" w:hAnsi="Cambria"/>
                <w:sz w:val="18"/>
                <w:szCs w:val="18"/>
              </w:rPr>
              <w:t xml:space="preserve">).  </w:t>
            </w:r>
          </w:p>
        </w:tc>
        <w:tc>
          <w:tcPr>
            <w:tcW w:w="6300" w:type="dxa"/>
          </w:tcPr>
          <w:p w14:paraId="1CFCF85F" w14:textId="77777777" w:rsidR="002B3D18" w:rsidRPr="00803DA4" w:rsidRDefault="002B3D18" w:rsidP="00385888">
            <w:pPr>
              <w:pStyle w:val="ListParagraph"/>
              <w:numPr>
                <w:ilvl w:val="0"/>
                <w:numId w:val="6"/>
              </w:numPr>
              <w:ind w:left="162" w:hanging="180"/>
              <w:rPr>
                <w:rFonts w:ascii="Cambria" w:hAnsi="Cambria"/>
                <w:sz w:val="18"/>
                <w:szCs w:val="18"/>
              </w:rPr>
            </w:pPr>
            <w:r w:rsidRPr="00803DA4">
              <w:rPr>
                <w:rFonts w:ascii="Cambria" w:hAnsi="Cambria"/>
                <w:sz w:val="18"/>
                <w:szCs w:val="18"/>
              </w:rPr>
              <w:t>Direct instruction is provided for the Targeted Vocabulary (oral vocabulary).</w:t>
            </w:r>
          </w:p>
          <w:p w14:paraId="1CFCF860" w14:textId="463C0729" w:rsidR="002B3D18" w:rsidRPr="00803DA4" w:rsidRDefault="002B3D18" w:rsidP="00385888">
            <w:pPr>
              <w:pStyle w:val="ListParagraph"/>
              <w:numPr>
                <w:ilvl w:val="0"/>
                <w:numId w:val="6"/>
              </w:numPr>
              <w:ind w:left="162" w:hanging="180"/>
              <w:rPr>
                <w:rFonts w:ascii="Cambria" w:hAnsi="Cambria"/>
                <w:sz w:val="18"/>
                <w:szCs w:val="18"/>
              </w:rPr>
            </w:pPr>
            <w:r w:rsidRPr="00803DA4">
              <w:rPr>
                <w:rFonts w:ascii="Cambria" w:hAnsi="Cambria"/>
                <w:sz w:val="18"/>
                <w:szCs w:val="18"/>
              </w:rPr>
              <w:t xml:space="preserve">Instructional routine provided the </w:t>
            </w:r>
            <w:r w:rsidRPr="00803DA4">
              <w:rPr>
                <w:rFonts w:ascii="Cambria" w:hAnsi="Cambria"/>
                <w:i/>
                <w:sz w:val="18"/>
                <w:szCs w:val="18"/>
              </w:rPr>
              <w:t>Word Study Teacher’s Guide</w:t>
            </w:r>
            <w:r w:rsidRPr="00803DA4">
              <w:rPr>
                <w:rFonts w:ascii="Cambria" w:hAnsi="Cambria"/>
                <w:sz w:val="18"/>
                <w:szCs w:val="18"/>
              </w:rPr>
              <w:t xml:space="preserve"> is utilized to provide direct instruction for Tier 2 words.</w:t>
            </w:r>
          </w:p>
          <w:p w14:paraId="1CFCF861" w14:textId="77777777" w:rsidR="002B3D18" w:rsidRPr="00803DA4" w:rsidRDefault="002B3D18" w:rsidP="00385888">
            <w:pPr>
              <w:pStyle w:val="ListParagraph"/>
              <w:numPr>
                <w:ilvl w:val="0"/>
                <w:numId w:val="6"/>
              </w:numPr>
              <w:ind w:left="162" w:hanging="180"/>
              <w:rPr>
                <w:rFonts w:ascii="Cambria" w:hAnsi="Cambria"/>
                <w:sz w:val="18"/>
                <w:szCs w:val="18"/>
              </w:rPr>
            </w:pPr>
            <w:r w:rsidRPr="00803DA4">
              <w:rPr>
                <w:rFonts w:ascii="Cambria" w:hAnsi="Cambria"/>
                <w:sz w:val="18"/>
                <w:szCs w:val="18"/>
              </w:rPr>
              <w:t>Vocabulary in Context cards are utilized and posted for student access when appropriate.</w:t>
            </w:r>
          </w:p>
        </w:tc>
        <w:tc>
          <w:tcPr>
            <w:tcW w:w="4680" w:type="dxa"/>
          </w:tcPr>
          <w:p w14:paraId="7159E612" w14:textId="77777777" w:rsidR="002B3D18" w:rsidRDefault="002B3D18" w:rsidP="00385888">
            <w:pPr>
              <w:pStyle w:val="ListParagraph"/>
              <w:numPr>
                <w:ilvl w:val="0"/>
                <w:numId w:val="6"/>
              </w:numPr>
              <w:ind w:left="162" w:hanging="180"/>
              <w:rPr>
                <w:rFonts w:ascii="Cambria" w:hAnsi="Cambria"/>
                <w:sz w:val="18"/>
                <w:szCs w:val="18"/>
              </w:rPr>
            </w:pPr>
            <w:r>
              <w:rPr>
                <w:rFonts w:ascii="Cambria" w:hAnsi="Cambria"/>
                <w:sz w:val="18"/>
                <w:szCs w:val="18"/>
              </w:rPr>
              <w:t>P</w:t>
            </w:r>
            <w:r w:rsidRPr="00803DA4">
              <w:rPr>
                <w:rFonts w:ascii="Cambria" w:hAnsi="Cambria"/>
                <w:sz w:val="18"/>
                <w:szCs w:val="18"/>
              </w:rPr>
              <w:t>rofessional develo</w:t>
            </w:r>
            <w:r>
              <w:rPr>
                <w:rFonts w:ascii="Cambria" w:hAnsi="Cambria"/>
                <w:sz w:val="18"/>
                <w:szCs w:val="18"/>
              </w:rPr>
              <w:t xml:space="preserve">pment is provided </w:t>
            </w:r>
            <w:r w:rsidRPr="00803DA4">
              <w:rPr>
                <w:rFonts w:ascii="Cambria" w:hAnsi="Cambria"/>
                <w:sz w:val="18"/>
                <w:szCs w:val="18"/>
              </w:rPr>
              <w:t>regarding direct vocabulary instruction and its role in the classroom.</w:t>
            </w:r>
          </w:p>
          <w:p w14:paraId="1CFCF862" w14:textId="16302FC3" w:rsidR="002B3D18" w:rsidRPr="00803DA4" w:rsidRDefault="002B3D18" w:rsidP="00385888">
            <w:pPr>
              <w:pStyle w:val="ListParagraph"/>
              <w:numPr>
                <w:ilvl w:val="0"/>
                <w:numId w:val="6"/>
              </w:numPr>
              <w:ind w:left="162" w:hanging="180"/>
              <w:rPr>
                <w:rFonts w:ascii="Cambria" w:hAnsi="Cambria"/>
                <w:sz w:val="18"/>
                <w:szCs w:val="18"/>
              </w:rPr>
            </w:pPr>
            <w:r>
              <w:rPr>
                <w:rFonts w:ascii="Cambria" w:hAnsi="Cambria"/>
                <w:sz w:val="18"/>
                <w:szCs w:val="18"/>
              </w:rPr>
              <w:t>Assistance is provided regarding scheduling in an effort to support how vocabulary instruction can be provided on a consistent basis.</w:t>
            </w:r>
          </w:p>
        </w:tc>
      </w:tr>
      <w:tr w:rsidR="002B3D18" w:rsidRPr="00EB731A" w14:paraId="1CFCF869" w14:textId="77777777" w:rsidTr="002B3D18">
        <w:tc>
          <w:tcPr>
            <w:tcW w:w="294" w:type="dxa"/>
            <w:vAlign w:val="center"/>
          </w:tcPr>
          <w:p w14:paraId="7FC0476D" w14:textId="507BA860" w:rsidR="002B3D18" w:rsidRPr="002B3D18" w:rsidRDefault="002B3D18" w:rsidP="002B3D18">
            <w:pPr>
              <w:jc w:val="center"/>
              <w:rPr>
                <w:rFonts w:ascii="Cambria" w:hAnsi="Cambria"/>
                <w:sz w:val="14"/>
                <w:szCs w:val="18"/>
              </w:rPr>
            </w:pPr>
            <w:r w:rsidRPr="002B3D18">
              <w:rPr>
                <w:rFonts w:ascii="Cambria" w:hAnsi="Cambria"/>
                <w:sz w:val="14"/>
                <w:szCs w:val="18"/>
              </w:rPr>
              <w:t>4</w:t>
            </w:r>
          </w:p>
        </w:tc>
        <w:tc>
          <w:tcPr>
            <w:tcW w:w="4026" w:type="dxa"/>
          </w:tcPr>
          <w:p w14:paraId="1CFCF864" w14:textId="6FED5AC6" w:rsidR="002B3D18" w:rsidRPr="00803DA4" w:rsidRDefault="002B3D18" w:rsidP="0089140F">
            <w:pPr>
              <w:rPr>
                <w:rFonts w:ascii="Cambria" w:hAnsi="Cambria"/>
                <w:sz w:val="18"/>
                <w:szCs w:val="18"/>
              </w:rPr>
            </w:pPr>
            <w:r w:rsidRPr="00803DA4">
              <w:rPr>
                <w:rFonts w:ascii="Cambria" w:hAnsi="Cambria"/>
                <w:sz w:val="18"/>
                <w:szCs w:val="18"/>
              </w:rPr>
              <w:t xml:space="preserve">The curriculum guides indicate a </w:t>
            </w:r>
            <w:r w:rsidRPr="00803DA4">
              <w:rPr>
                <w:rFonts w:ascii="Cambria" w:hAnsi="Cambria"/>
                <w:b/>
                <w:sz w:val="18"/>
                <w:szCs w:val="18"/>
              </w:rPr>
              <w:t>genre focus</w:t>
            </w:r>
            <w:r w:rsidRPr="00803DA4">
              <w:rPr>
                <w:rFonts w:ascii="Cambria" w:hAnsi="Cambria"/>
                <w:sz w:val="18"/>
                <w:szCs w:val="18"/>
              </w:rPr>
              <w:t xml:space="preserve"> for each unit indicated by the IACC Writing Standards 1-3.  The </w:t>
            </w:r>
            <w:r w:rsidRPr="00803DA4">
              <w:rPr>
                <w:rFonts w:ascii="Cambria" w:hAnsi="Cambria"/>
                <w:i/>
                <w:sz w:val="18"/>
                <w:szCs w:val="18"/>
              </w:rPr>
              <w:t>Journeys</w:t>
            </w:r>
            <w:r w:rsidRPr="00803DA4">
              <w:rPr>
                <w:rFonts w:ascii="Cambria" w:hAnsi="Cambria"/>
                <w:sz w:val="18"/>
                <w:szCs w:val="18"/>
              </w:rPr>
              <w:t xml:space="preserve"> materials provide </w:t>
            </w:r>
            <w:r w:rsidRPr="00803DA4">
              <w:rPr>
                <w:rFonts w:ascii="Cambria" w:hAnsi="Cambria"/>
                <w:b/>
                <w:sz w:val="18"/>
                <w:szCs w:val="18"/>
              </w:rPr>
              <w:t>explicit instruction around this writing genre</w:t>
            </w:r>
            <w:r w:rsidRPr="00803DA4">
              <w:rPr>
                <w:rFonts w:ascii="Cambria" w:hAnsi="Cambria"/>
                <w:sz w:val="18"/>
                <w:szCs w:val="18"/>
              </w:rPr>
              <w:t xml:space="preserve">.  </w:t>
            </w:r>
            <w:r w:rsidRPr="00803DA4">
              <w:rPr>
                <w:rFonts w:ascii="Cambria" w:hAnsi="Cambria"/>
                <w:i/>
                <w:sz w:val="18"/>
                <w:szCs w:val="18"/>
              </w:rPr>
              <w:t>Being a Writer</w:t>
            </w:r>
            <w:r w:rsidRPr="00803DA4">
              <w:rPr>
                <w:rFonts w:ascii="Cambria" w:hAnsi="Cambria"/>
                <w:sz w:val="18"/>
                <w:szCs w:val="18"/>
              </w:rPr>
              <w:t xml:space="preserve"> may also be used to support the development of the writing community and the craft of each genre.</w:t>
            </w:r>
          </w:p>
        </w:tc>
        <w:tc>
          <w:tcPr>
            <w:tcW w:w="6300" w:type="dxa"/>
          </w:tcPr>
          <w:p w14:paraId="1CFCF865" w14:textId="77777777" w:rsidR="002B3D18" w:rsidRPr="00803DA4" w:rsidRDefault="002B3D18" w:rsidP="00385888">
            <w:pPr>
              <w:pStyle w:val="ListParagraph"/>
              <w:numPr>
                <w:ilvl w:val="0"/>
                <w:numId w:val="9"/>
              </w:numPr>
              <w:ind w:left="162" w:hanging="180"/>
              <w:rPr>
                <w:rFonts w:ascii="Cambria" w:hAnsi="Cambria"/>
                <w:sz w:val="18"/>
                <w:szCs w:val="18"/>
              </w:rPr>
            </w:pPr>
            <w:r w:rsidRPr="00803DA4">
              <w:rPr>
                <w:rFonts w:ascii="Cambria" w:hAnsi="Cambria"/>
                <w:sz w:val="18"/>
                <w:szCs w:val="18"/>
              </w:rPr>
              <w:t>Genre focus provided on the DMPS literacy curriculum guide (pg. 2) is instructed using the Being a Writer materials as the primary resource.</w:t>
            </w:r>
          </w:p>
          <w:p w14:paraId="1CFCF866" w14:textId="3529599F" w:rsidR="002B3D18" w:rsidRPr="00803DA4" w:rsidRDefault="002B3D18" w:rsidP="00385888">
            <w:pPr>
              <w:pStyle w:val="ListParagraph"/>
              <w:numPr>
                <w:ilvl w:val="0"/>
                <w:numId w:val="9"/>
              </w:numPr>
              <w:ind w:left="162" w:hanging="180"/>
              <w:rPr>
                <w:rFonts w:ascii="Cambria" w:hAnsi="Cambria"/>
                <w:sz w:val="18"/>
                <w:szCs w:val="18"/>
              </w:rPr>
            </w:pPr>
            <w:r w:rsidRPr="00803DA4">
              <w:rPr>
                <w:rFonts w:ascii="Cambria" w:hAnsi="Cambria"/>
                <w:sz w:val="18"/>
                <w:szCs w:val="18"/>
              </w:rPr>
              <w:t>The Journeys 5-day instructional sequence fo</w:t>
            </w:r>
            <w:r>
              <w:rPr>
                <w:rFonts w:ascii="Cambria" w:hAnsi="Cambria"/>
                <w:sz w:val="18"/>
                <w:szCs w:val="18"/>
              </w:rPr>
              <w:t xml:space="preserve">r writing may also be used as an additional </w:t>
            </w:r>
            <w:r w:rsidRPr="00803DA4">
              <w:rPr>
                <w:rFonts w:ascii="Cambria" w:hAnsi="Cambria"/>
                <w:sz w:val="18"/>
                <w:szCs w:val="18"/>
              </w:rPr>
              <w:t>resource for explicit instruction.</w:t>
            </w:r>
          </w:p>
          <w:p w14:paraId="1CFCF867" w14:textId="77777777" w:rsidR="002B3D18" w:rsidRPr="00803DA4" w:rsidRDefault="002B3D18" w:rsidP="00385888">
            <w:pPr>
              <w:pStyle w:val="ListParagraph"/>
              <w:numPr>
                <w:ilvl w:val="0"/>
                <w:numId w:val="9"/>
              </w:numPr>
              <w:ind w:left="162" w:hanging="180"/>
              <w:rPr>
                <w:rFonts w:ascii="Cambria" w:hAnsi="Cambria"/>
                <w:sz w:val="18"/>
                <w:szCs w:val="18"/>
              </w:rPr>
            </w:pPr>
            <w:r w:rsidRPr="00803DA4">
              <w:rPr>
                <w:rFonts w:ascii="Cambria" w:hAnsi="Cambria"/>
                <w:sz w:val="18"/>
                <w:szCs w:val="18"/>
              </w:rPr>
              <w:t>Student writing is connected to the genre focus for each unit.</w:t>
            </w:r>
          </w:p>
        </w:tc>
        <w:tc>
          <w:tcPr>
            <w:tcW w:w="4680" w:type="dxa"/>
          </w:tcPr>
          <w:p w14:paraId="1CFCF868" w14:textId="3A0D0E04" w:rsidR="002B3D18" w:rsidRPr="00803DA4" w:rsidRDefault="002B3D18" w:rsidP="00385888">
            <w:pPr>
              <w:pStyle w:val="ListParagraph"/>
              <w:numPr>
                <w:ilvl w:val="0"/>
                <w:numId w:val="9"/>
              </w:numPr>
              <w:ind w:left="162" w:hanging="180"/>
              <w:rPr>
                <w:rFonts w:ascii="Cambria" w:hAnsi="Cambria"/>
                <w:sz w:val="18"/>
                <w:szCs w:val="18"/>
              </w:rPr>
            </w:pPr>
            <w:r>
              <w:rPr>
                <w:rFonts w:ascii="Cambria" w:hAnsi="Cambria"/>
                <w:sz w:val="18"/>
                <w:szCs w:val="18"/>
              </w:rPr>
              <w:t>Instructional Coach provides guidance during grade level or individual planning time to support the connection of the Being a Writer material to the “I Can Statements” provided on our curriculum guide.</w:t>
            </w:r>
          </w:p>
        </w:tc>
      </w:tr>
      <w:tr w:rsidR="002B3D18" w:rsidRPr="00EB731A" w14:paraId="1CFCF86D" w14:textId="77777777" w:rsidTr="002B3D18">
        <w:tc>
          <w:tcPr>
            <w:tcW w:w="294" w:type="dxa"/>
            <w:vAlign w:val="center"/>
          </w:tcPr>
          <w:p w14:paraId="09643AC7" w14:textId="32F74876" w:rsidR="002B3D18" w:rsidRPr="002B3D18" w:rsidRDefault="002B3D18" w:rsidP="002B3D18">
            <w:pPr>
              <w:jc w:val="center"/>
              <w:rPr>
                <w:rFonts w:ascii="Cambria" w:hAnsi="Cambria"/>
                <w:sz w:val="14"/>
                <w:szCs w:val="18"/>
              </w:rPr>
            </w:pPr>
            <w:r w:rsidRPr="002B3D18">
              <w:rPr>
                <w:rFonts w:ascii="Cambria" w:hAnsi="Cambria"/>
                <w:sz w:val="14"/>
                <w:szCs w:val="18"/>
              </w:rPr>
              <w:t>5</w:t>
            </w:r>
          </w:p>
        </w:tc>
        <w:tc>
          <w:tcPr>
            <w:tcW w:w="4026" w:type="dxa"/>
          </w:tcPr>
          <w:p w14:paraId="1CFCF86A" w14:textId="0E811736" w:rsidR="002B3D18" w:rsidRPr="00803DA4" w:rsidRDefault="002B3D18" w:rsidP="00385888">
            <w:pPr>
              <w:rPr>
                <w:rFonts w:ascii="Cambria" w:hAnsi="Cambria"/>
                <w:sz w:val="18"/>
                <w:szCs w:val="18"/>
              </w:rPr>
            </w:pPr>
            <w:r w:rsidRPr="00803DA4">
              <w:rPr>
                <w:rFonts w:ascii="Cambria" w:hAnsi="Cambria"/>
                <w:sz w:val="18"/>
                <w:szCs w:val="18"/>
              </w:rPr>
              <w:t xml:space="preserve">The </w:t>
            </w:r>
            <w:r w:rsidRPr="00803DA4">
              <w:rPr>
                <w:rFonts w:ascii="Cambria" w:hAnsi="Cambria"/>
                <w:i/>
                <w:sz w:val="18"/>
                <w:szCs w:val="18"/>
              </w:rPr>
              <w:t>Journeys</w:t>
            </w:r>
            <w:r w:rsidRPr="00803DA4">
              <w:rPr>
                <w:rFonts w:ascii="Cambria" w:hAnsi="Cambria"/>
                <w:sz w:val="18"/>
                <w:szCs w:val="18"/>
              </w:rPr>
              <w:t xml:space="preserve"> </w:t>
            </w:r>
            <w:r w:rsidRPr="00803DA4">
              <w:rPr>
                <w:rFonts w:ascii="Cambria" w:hAnsi="Cambria"/>
                <w:b/>
                <w:sz w:val="18"/>
                <w:szCs w:val="18"/>
              </w:rPr>
              <w:t>vocabulary strategies</w:t>
            </w:r>
            <w:r w:rsidRPr="00803DA4">
              <w:rPr>
                <w:rFonts w:ascii="Cambria" w:hAnsi="Cambria"/>
                <w:sz w:val="18"/>
                <w:szCs w:val="18"/>
              </w:rPr>
              <w:t xml:space="preserve"> and </w:t>
            </w:r>
            <w:r w:rsidRPr="00803DA4">
              <w:rPr>
                <w:rFonts w:ascii="Cambria" w:hAnsi="Cambria"/>
                <w:b/>
                <w:sz w:val="18"/>
                <w:szCs w:val="18"/>
              </w:rPr>
              <w:t>grammar</w:t>
            </w:r>
            <w:r w:rsidRPr="00803DA4">
              <w:rPr>
                <w:rFonts w:ascii="Cambria" w:hAnsi="Cambria"/>
                <w:sz w:val="18"/>
                <w:szCs w:val="18"/>
              </w:rPr>
              <w:t xml:space="preserve"> components are aligned with the IACC Language Standards.  </w:t>
            </w:r>
          </w:p>
        </w:tc>
        <w:tc>
          <w:tcPr>
            <w:tcW w:w="6300" w:type="dxa"/>
          </w:tcPr>
          <w:p w14:paraId="3A6E1FA5" w14:textId="4B7C821B"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Explicit grammar instruction is provided using the Whol</w:t>
            </w:r>
            <w:r>
              <w:rPr>
                <w:rFonts w:ascii="Cambria" w:hAnsi="Cambria"/>
                <w:sz w:val="18"/>
                <w:szCs w:val="18"/>
              </w:rPr>
              <w:t>e group Tab</w:t>
            </w:r>
            <w:r w:rsidRPr="00803DA4">
              <w:rPr>
                <w:rFonts w:ascii="Cambria" w:hAnsi="Cambria"/>
                <w:sz w:val="18"/>
                <w:szCs w:val="18"/>
              </w:rPr>
              <w:t>.</w:t>
            </w:r>
          </w:p>
          <w:p w14:paraId="2DC0E278" w14:textId="1BA1FCCA"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Authentic opportunities for the application of grammar instruction are provided through the use of the Write Smart technology available on Think Central (Gr</w:t>
            </w:r>
            <w:r>
              <w:rPr>
                <w:rFonts w:ascii="Cambria" w:hAnsi="Cambria"/>
                <w:sz w:val="18"/>
                <w:szCs w:val="18"/>
              </w:rPr>
              <w:t>.</w:t>
            </w:r>
            <w:r w:rsidRPr="00803DA4">
              <w:rPr>
                <w:rFonts w:ascii="Cambria" w:hAnsi="Cambria"/>
                <w:sz w:val="18"/>
                <w:szCs w:val="18"/>
              </w:rPr>
              <w:t xml:space="preserve"> 2-5).</w:t>
            </w:r>
          </w:p>
          <w:p w14:paraId="1CFCF86B" w14:textId="13971F9A"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 xml:space="preserve">Engaging opportunities for the use </w:t>
            </w:r>
            <w:r>
              <w:rPr>
                <w:rFonts w:ascii="Cambria" w:hAnsi="Cambria"/>
                <w:sz w:val="18"/>
                <w:szCs w:val="18"/>
              </w:rPr>
              <w:t xml:space="preserve">of </w:t>
            </w:r>
            <w:r w:rsidRPr="00803DA4">
              <w:rPr>
                <w:rFonts w:ascii="Cambria" w:hAnsi="Cambria"/>
                <w:sz w:val="18"/>
                <w:szCs w:val="18"/>
              </w:rPr>
              <w:t>grammar skills are supported using the “Grammar Snap” videos available on Think Central (Gr</w:t>
            </w:r>
            <w:r>
              <w:rPr>
                <w:rFonts w:ascii="Cambria" w:hAnsi="Cambria"/>
                <w:sz w:val="18"/>
                <w:szCs w:val="18"/>
              </w:rPr>
              <w:t>.</w:t>
            </w:r>
            <w:r w:rsidRPr="00803DA4">
              <w:rPr>
                <w:rFonts w:ascii="Cambria" w:hAnsi="Cambria"/>
                <w:sz w:val="18"/>
                <w:szCs w:val="18"/>
              </w:rPr>
              <w:t xml:space="preserve"> 1-5).</w:t>
            </w:r>
          </w:p>
        </w:tc>
        <w:tc>
          <w:tcPr>
            <w:tcW w:w="4680" w:type="dxa"/>
          </w:tcPr>
          <w:p w14:paraId="1CFCF86C" w14:textId="57B9F259" w:rsidR="002B3D18" w:rsidRPr="00F35109"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Support is provided regarding the use of Think Central in the classroom in an effort to improve student engagement in the classroom.</w:t>
            </w:r>
          </w:p>
        </w:tc>
      </w:tr>
      <w:tr w:rsidR="002B3D18" w:rsidRPr="00EB731A" w14:paraId="1CFCF871" w14:textId="77777777" w:rsidTr="002B3D18">
        <w:tc>
          <w:tcPr>
            <w:tcW w:w="294" w:type="dxa"/>
            <w:vAlign w:val="center"/>
          </w:tcPr>
          <w:p w14:paraId="6D68578A" w14:textId="53A3ABAF" w:rsidR="002B3D18" w:rsidRPr="002B3D18" w:rsidRDefault="002B3D18" w:rsidP="002B3D18">
            <w:pPr>
              <w:jc w:val="center"/>
              <w:rPr>
                <w:rFonts w:ascii="Cambria" w:hAnsi="Cambria"/>
                <w:sz w:val="14"/>
                <w:szCs w:val="18"/>
              </w:rPr>
            </w:pPr>
            <w:r w:rsidRPr="002B3D18">
              <w:rPr>
                <w:rFonts w:ascii="Cambria" w:hAnsi="Cambria"/>
                <w:sz w:val="14"/>
                <w:szCs w:val="18"/>
              </w:rPr>
              <w:t>6</w:t>
            </w:r>
          </w:p>
        </w:tc>
        <w:tc>
          <w:tcPr>
            <w:tcW w:w="4026" w:type="dxa"/>
          </w:tcPr>
          <w:p w14:paraId="1CFCF86E" w14:textId="652F94B2" w:rsidR="002B3D18" w:rsidRPr="00803DA4" w:rsidRDefault="002B3D18" w:rsidP="0089140F">
            <w:pPr>
              <w:rPr>
                <w:rFonts w:ascii="Cambria" w:hAnsi="Cambria"/>
                <w:sz w:val="18"/>
                <w:szCs w:val="18"/>
              </w:rPr>
            </w:pPr>
            <w:r w:rsidRPr="00803DA4">
              <w:rPr>
                <w:rFonts w:ascii="Cambria" w:hAnsi="Cambria"/>
                <w:sz w:val="18"/>
                <w:szCs w:val="18"/>
              </w:rPr>
              <w:t xml:space="preserve">The curriculum guides indicate a </w:t>
            </w:r>
            <w:r w:rsidRPr="00803DA4">
              <w:rPr>
                <w:rFonts w:ascii="Cambria" w:hAnsi="Cambria"/>
                <w:b/>
                <w:sz w:val="18"/>
                <w:szCs w:val="18"/>
              </w:rPr>
              <w:t>phonics</w:t>
            </w:r>
            <w:r w:rsidRPr="00803DA4">
              <w:rPr>
                <w:rFonts w:ascii="Cambria" w:hAnsi="Cambria"/>
                <w:sz w:val="18"/>
                <w:szCs w:val="18"/>
              </w:rPr>
              <w:t xml:space="preserve"> and </w:t>
            </w:r>
            <w:r w:rsidRPr="00803DA4">
              <w:rPr>
                <w:rFonts w:ascii="Cambria" w:hAnsi="Cambria"/>
                <w:b/>
                <w:sz w:val="18"/>
                <w:szCs w:val="18"/>
              </w:rPr>
              <w:t>word study focus for each weekly lesson</w:t>
            </w:r>
            <w:r w:rsidRPr="00803DA4">
              <w:rPr>
                <w:rFonts w:ascii="Cambria" w:hAnsi="Cambria"/>
                <w:sz w:val="18"/>
                <w:szCs w:val="18"/>
              </w:rPr>
              <w:t>.  The</w:t>
            </w:r>
            <w:r w:rsidRPr="00803DA4">
              <w:rPr>
                <w:rFonts w:ascii="Cambria" w:hAnsi="Cambria"/>
                <w:i/>
                <w:sz w:val="18"/>
                <w:szCs w:val="18"/>
              </w:rPr>
              <w:t xml:space="preserve"> Journeys</w:t>
            </w:r>
            <w:r w:rsidRPr="00803DA4">
              <w:rPr>
                <w:rFonts w:ascii="Cambria" w:hAnsi="Cambria"/>
                <w:sz w:val="18"/>
                <w:szCs w:val="18"/>
              </w:rPr>
              <w:t xml:space="preserve"> materials support the explicit teaching of these skills.  The </w:t>
            </w:r>
            <w:r w:rsidRPr="00803DA4">
              <w:rPr>
                <w:rFonts w:ascii="Cambria" w:hAnsi="Cambria"/>
                <w:i/>
                <w:sz w:val="18"/>
                <w:szCs w:val="18"/>
              </w:rPr>
              <w:t xml:space="preserve">Word Study Teacher’s Guide </w:t>
            </w:r>
            <w:r w:rsidRPr="00803DA4">
              <w:rPr>
                <w:rFonts w:ascii="Cambria" w:hAnsi="Cambria"/>
                <w:sz w:val="18"/>
                <w:szCs w:val="18"/>
              </w:rPr>
              <w:t>should be used to reinforce daily instruction and provide ample student practice.</w:t>
            </w:r>
          </w:p>
        </w:tc>
        <w:tc>
          <w:tcPr>
            <w:tcW w:w="6300" w:type="dxa"/>
          </w:tcPr>
          <w:p w14:paraId="17E0B0C0" w14:textId="77777777"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 xml:space="preserve">Explicit phonics instruction is provided daily utilizing the instructional routines provided in the </w:t>
            </w:r>
            <w:r w:rsidRPr="00803DA4">
              <w:rPr>
                <w:rFonts w:ascii="Cambria" w:hAnsi="Cambria"/>
                <w:i/>
                <w:sz w:val="18"/>
                <w:szCs w:val="18"/>
              </w:rPr>
              <w:t>Word Study Teacher’s Guide.</w:t>
            </w:r>
          </w:p>
          <w:p w14:paraId="115FD44A" w14:textId="77777777"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Students are engaged in word sorts throughout the week that building their understanding of phonics patterns.</w:t>
            </w:r>
          </w:p>
          <w:p w14:paraId="1CFCF86F" w14:textId="0CD53611"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The 5-day instructional sequence provided in the Journeys manuals, which includes multiple worksheets, is used sparingly.</w:t>
            </w:r>
          </w:p>
        </w:tc>
        <w:tc>
          <w:tcPr>
            <w:tcW w:w="4680" w:type="dxa"/>
          </w:tcPr>
          <w:p w14:paraId="1CFCF870" w14:textId="53DAE6E9" w:rsidR="002B3D18" w:rsidRPr="00F35109"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Words their Way professional development is provided to develop a rationale and purpose for this instructional routine.</w:t>
            </w:r>
          </w:p>
        </w:tc>
      </w:tr>
      <w:tr w:rsidR="002B3D18" w:rsidRPr="00EB731A" w14:paraId="1CFCF876" w14:textId="77777777" w:rsidTr="002B3D18">
        <w:tc>
          <w:tcPr>
            <w:tcW w:w="294" w:type="dxa"/>
            <w:vAlign w:val="center"/>
          </w:tcPr>
          <w:p w14:paraId="4AD34222" w14:textId="48FE4A17" w:rsidR="002B3D18" w:rsidRPr="002B3D18" w:rsidRDefault="002B3D18" w:rsidP="002B3D18">
            <w:pPr>
              <w:jc w:val="center"/>
              <w:rPr>
                <w:rFonts w:ascii="Cambria" w:hAnsi="Cambria"/>
                <w:sz w:val="14"/>
                <w:szCs w:val="18"/>
              </w:rPr>
            </w:pPr>
            <w:r w:rsidRPr="002B3D18">
              <w:rPr>
                <w:rFonts w:ascii="Cambria" w:hAnsi="Cambria"/>
                <w:sz w:val="14"/>
                <w:szCs w:val="18"/>
              </w:rPr>
              <w:t>7</w:t>
            </w:r>
          </w:p>
        </w:tc>
        <w:tc>
          <w:tcPr>
            <w:tcW w:w="4026" w:type="dxa"/>
          </w:tcPr>
          <w:p w14:paraId="1CFCF872" w14:textId="56F33208" w:rsidR="002B3D18" w:rsidRPr="00803DA4" w:rsidRDefault="002B3D18" w:rsidP="0089140F">
            <w:pPr>
              <w:rPr>
                <w:rFonts w:ascii="Cambria" w:hAnsi="Cambria"/>
                <w:sz w:val="18"/>
                <w:szCs w:val="18"/>
              </w:rPr>
            </w:pPr>
            <w:r w:rsidRPr="00803DA4">
              <w:rPr>
                <w:rFonts w:ascii="Cambria" w:hAnsi="Cambria"/>
                <w:sz w:val="18"/>
                <w:szCs w:val="18"/>
              </w:rPr>
              <w:t xml:space="preserve">The curriculum guides indicate a </w:t>
            </w:r>
            <w:r w:rsidRPr="00803DA4">
              <w:rPr>
                <w:rFonts w:ascii="Cambria" w:hAnsi="Cambria"/>
                <w:b/>
                <w:sz w:val="18"/>
                <w:szCs w:val="18"/>
              </w:rPr>
              <w:t>fluency focus for each weekly lesson</w:t>
            </w:r>
            <w:r w:rsidRPr="00803DA4">
              <w:rPr>
                <w:rFonts w:ascii="Cambria" w:hAnsi="Cambria"/>
                <w:sz w:val="18"/>
                <w:szCs w:val="18"/>
              </w:rPr>
              <w:t xml:space="preserve">.  The </w:t>
            </w:r>
            <w:r w:rsidRPr="00803DA4">
              <w:rPr>
                <w:rFonts w:ascii="Cambria" w:hAnsi="Cambria"/>
                <w:i/>
                <w:sz w:val="18"/>
                <w:szCs w:val="18"/>
              </w:rPr>
              <w:t>Journeys</w:t>
            </w:r>
            <w:r w:rsidRPr="00803DA4">
              <w:rPr>
                <w:rFonts w:ascii="Cambria" w:hAnsi="Cambria"/>
                <w:sz w:val="18"/>
                <w:szCs w:val="18"/>
              </w:rPr>
              <w:t xml:space="preserve"> materials support explicit instruction, however, additional opportunities for re-reading and practice should be provided to students. </w:t>
            </w:r>
          </w:p>
        </w:tc>
        <w:tc>
          <w:tcPr>
            <w:tcW w:w="6300" w:type="dxa"/>
          </w:tcPr>
          <w:p w14:paraId="1CFCF873" w14:textId="77777777"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Teacher model of fluency skill is provided using the Teacher Read Aloud in Journeys (Day 1 in the Whole Group Tab).</w:t>
            </w:r>
          </w:p>
          <w:p w14:paraId="1CFCF874" w14:textId="7BCFFB99"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Additional opportunities to reread are provided using the decodable reader (</w:t>
            </w:r>
            <w:proofErr w:type="spellStart"/>
            <w:r w:rsidRPr="00803DA4">
              <w:rPr>
                <w:rFonts w:ascii="Cambria" w:hAnsi="Cambria"/>
                <w:sz w:val="18"/>
                <w:szCs w:val="18"/>
              </w:rPr>
              <w:t>k</w:t>
            </w:r>
            <w:r>
              <w:rPr>
                <w:rFonts w:ascii="Cambria" w:hAnsi="Cambria"/>
                <w:sz w:val="18"/>
                <w:szCs w:val="18"/>
              </w:rPr>
              <w:t>dg</w:t>
            </w:r>
            <w:proofErr w:type="spellEnd"/>
            <w:r w:rsidRPr="00803DA4">
              <w:rPr>
                <w:rFonts w:ascii="Cambria" w:hAnsi="Cambria"/>
                <w:sz w:val="18"/>
                <w:szCs w:val="18"/>
              </w:rPr>
              <w:t>-2) in conjunction with other authentic rereading opportunities.</w:t>
            </w:r>
          </w:p>
        </w:tc>
        <w:tc>
          <w:tcPr>
            <w:tcW w:w="4680" w:type="dxa"/>
          </w:tcPr>
          <w:p w14:paraId="1CFCF875" w14:textId="7BECD6B6" w:rsidR="002B3D18" w:rsidRPr="00F35109"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Assistance is provided regarding scheduling in an effort to support how fluency instruction can be provided on a consistent basis.</w:t>
            </w:r>
          </w:p>
        </w:tc>
      </w:tr>
      <w:tr w:rsidR="002B3D18" w:rsidRPr="00EB731A" w14:paraId="1CFCF87B" w14:textId="77777777" w:rsidTr="002B3D18">
        <w:tc>
          <w:tcPr>
            <w:tcW w:w="294" w:type="dxa"/>
            <w:vAlign w:val="center"/>
          </w:tcPr>
          <w:p w14:paraId="12656B39" w14:textId="5E6D3550" w:rsidR="002B3D18" w:rsidRPr="002B3D18" w:rsidRDefault="002B3D18" w:rsidP="002B3D18">
            <w:pPr>
              <w:jc w:val="center"/>
              <w:rPr>
                <w:rFonts w:ascii="Cambria" w:hAnsi="Cambria"/>
                <w:sz w:val="14"/>
                <w:szCs w:val="18"/>
              </w:rPr>
            </w:pPr>
            <w:r w:rsidRPr="002B3D18">
              <w:rPr>
                <w:rFonts w:ascii="Cambria" w:hAnsi="Cambria"/>
                <w:sz w:val="14"/>
                <w:szCs w:val="18"/>
              </w:rPr>
              <w:t>8</w:t>
            </w:r>
          </w:p>
        </w:tc>
        <w:tc>
          <w:tcPr>
            <w:tcW w:w="4026" w:type="dxa"/>
          </w:tcPr>
          <w:p w14:paraId="1CFCF877" w14:textId="259CFB67" w:rsidR="002B3D18" w:rsidRPr="00803DA4" w:rsidRDefault="002B3D18" w:rsidP="0089140F">
            <w:pPr>
              <w:rPr>
                <w:rFonts w:ascii="Cambria" w:hAnsi="Cambria"/>
                <w:sz w:val="18"/>
                <w:szCs w:val="18"/>
              </w:rPr>
            </w:pPr>
            <w:r w:rsidRPr="00803DA4">
              <w:rPr>
                <w:rFonts w:ascii="Cambria" w:hAnsi="Cambria"/>
                <w:sz w:val="18"/>
                <w:szCs w:val="18"/>
              </w:rPr>
              <w:t xml:space="preserve">The 40 high frequency words from Journeys will be assessed in isolation for </w:t>
            </w:r>
            <w:r w:rsidRPr="00803DA4">
              <w:rPr>
                <w:rFonts w:ascii="Cambria" w:hAnsi="Cambria"/>
                <w:b/>
                <w:bCs/>
                <w:sz w:val="18"/>
                <w:szCs w:val="18"/>
              </w:rPr>
              <w:t>Kindergarten only</w:t>
            </w:r>
            <w:r w:rsidRPr="00803DA4">
              <w:rPr>
                <w:rFonts w:ascii="Cambria" w:hAnsi="Cambria"/>
                <w:sz w:val="18"/>
                <w:szCs w:val="18"/>
              </w:rPr>
              <w:t>.  Grades 1 and 2 should have a conversation about which sight words from Journeys will most support student learning.</w:t>
            </w:r>
          </w:p>
        </w:tc>
        <w:tc>
          <w:tcPr>
            <w:tcW w:w="6300" w:type="dxa"/>
          </w:tcPr>
          <w:p w14:paraId="1CFCF878" w14:textId="66D7EBBC"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Explicit instruction is provided for Kindergarten students on the 40 high frequency words in Journeys.</w:t>
            </w:r>
          </w:p>
          <w:p w14:paraId="559A5DF5" w14:textId="16BA5049" w:rsidR="002B3D18" w:rsidRPr="00803DA4"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The Decodable Reader is used for authentic practice with high frequency words.</w:t>
            </w:r>
          </w:p>
          <w:p w14:paraId="7B6938B5" w14:textId="77777777" w:rsidR="002B3D18" w:rsidRDefault="002B3D18" w:rsidP="00385888">
            <w:pPr>
              <w:pStyle w:val="ListParagraph"/>
              <w:numPr>
                <w:ilvl w:val="0"/>
                <w:numId w:val="8"/>
              </w:numPr>
              <w:ind w:left="162" w:hanging="180"/>
              <w:rPr>
                <w:rFonts w:ascii="Cambria" w:hAnsi="Cambria"/>
                <w:sz w:val="18"/>
                <w:szCs w:val="18"/>
              </w:rPr>
            </w:pPr>
            <w:r w:rsidRPr="00803DA4">
              <w:rPr>
                <w:rFonts w:ascii="Cambria" w:hAnsi="Cambria"/>
                <w:sz w:val="18"/>
                <w:szCs w:val="18"/>
              </w:rPr>
              <w:t xml:space="preserve">The </w:t>
            </w:r>
            <w:r>
              <w:rPr>
                <w:rFonts w:ascii="Cambria" w:hAnsi="Cambria"/>
                <w:sz w:val="18"/>
                <w:szCs w:val="18"/>
              </w:rPr>
              <w:t>h</w:t>
            </w:r>
            <w:r w:rsidRPr="00803DA4">
              <w:rPr>
                <w:rFonts w:ascii="Cambria" w:hAnsi="Cambria"/>
                <w:sz w:val="18"/>
                <w:szCs w:val="18"/>
              </w:rPr>
              <w:t>igh frequency words are posted for student use.</w:t>
            </w:r>
          </w:p>
          <w:p w14:paraId="1CFCF879" w14:textId="7C1872C2" w:rsidR="002B3D18" w:rsidRPr="00803DA4"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Explicit instruction is provided for Grades 1-2 students on high frequency words that are agreed upon by the grade level team (using the Journeys words in conjunction with other high frequency lists).</w:t>
            </w:r>
          </w:p>
        </w:tc>
        <w:tc>
          <w:tcPr>
            <w:tcW w:w="4680" w:type="dxa"/>
          </w:tcPr>
          <w:p w14:paraId="47E6B41A" w14:textId="77777777" w:rsidR="002B3D18"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Instructional Coach provides in-class support on setting up and utilizing a word wall.</w:t>
            </w:r>
          </w:p>
          <w:p w14:paraId="1CFCF87A" w14:textId="53E8FBD5" w:rsidR="002B3D18" w:rsidRPr="00803DA4" w:rsidRDefault="002B3D18" w:rsidP="00385888">
            <w:pPr>
              <w:pStyle w:val="ListParagraph"/>
              <w:numPr>
                <w:ilvl w:val="0"/>
                <w:numId w:val="8"/>
              </w:numPr>
              <w:ind w:left="162" w:hanging="180"/>
              <w:rPr>
                <w:rFonts w:ascii="Cambria" w:hAnsi="Cambria"/>
                <w:sz w:val="18"/>
                <w:szCs w:val="18"/>
              </w:rPr>
            </w:pPr>
            <w:r>
              <w:rPr>
                <w:rFonts w:ascii="Cambria" w:hAnsi="Cambria"/>
                <w:sz w:val="18"/>
                <w:szCs w:val="18"/>
              </w:rPr>
              <w:t>Collaboration time is provided to support grade level teams (Gr. 1-2) in developing a common list of sight words and an aligned monitoring system.</w:t>
            </w:r>
          </w:p>
        </w:tc>
      </w:tr>
    </w:tbl>
    <w:p w14:paraId="1CFCF87C" w14:textId="37B89984" w:rsidR="00A36AF5" w:rsidRPr="00803DA4" w:rsidRDefault="00A36AF5" w:rsidP="00803DA4">
      <w:pPr>
        <w:rPr>
          <w:sz w:val="2"/>
        </w:rPr>
      </w:pPr>
    </w:p>
    <w:sectPr w:rsidR="00A36AF5" w:rsidRPr="00803DA4" w:rsidSect="000F2D04">
      <w:footerReference w:type="default" r:id="rId13"/>
      <w:pgSz w:w="15840" w:h="12240" w:orient="landscape"/>
      <w:pgMar w:top="270" w:right="72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F87F" w14:textId="77777777" w:rsidR="002B3D18" w:rsidRDefault="002B3D18" w:rsidP="00F806E1">
      <w:pPr>
        <w:spacing w:after="0" w:line="240" w:lineRule="auto"/>
      </w:pPr>
      <w:r>
        <w:separator/>
      </w:r>
    </w:p>
  </w:endnote>
  <w:endnote w:type="continuationSeparator" w:id="0">
    <w:p w14:paraId="1CFCF880" w14:textId="77777777" w:rsidR="002B3D18" w:rsidRDefault="002B3D18" w:rsidP="00F8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F881" w14:textId="77777777" w:rsidR="002B3D18" w:rsidRPr="000F2D04" w:rsidRDefault="002B3D18" w:rsidP="000F2D04">
    <w:pPr>
      <w:pStyle w:val="NoSpacing"/>
      <w:jc w:val="right"/>
      <w:rPr>
        <w:rFonts w:ascii="Cambria" w:hAnsi="Cambria"/>
        <w:sz w:val="16"/>
      </w:rPr>
    </w:pPr>
    <w:r w:rsidRPr="000F2D04">
      <w:rPr>
        <w:rFonts w:ascii="Cambria" w:hAnsi="Cambria"/>
        <w:sz w:val="16"/>
      </w:rPr>
      <w:t>Elementary Teaching &amp; Learning</w:t>
    </w:r>
  </w:p>
  <w:p w14:paraId="1CFCF882" w14:textId="77777777" w:rsidR="002B3D18" w:rsidRPr="000F2D04" w:rsidRDefault="002B3D18" w:rsidP="000F2D04">
    <w:pPr>
      <w:pStyle w:val="NoSpacing"/>
      <w:jc w:val="right"/>
      <w:rPr>
        <w:rFonts w:ascii="Cambria" w:hAnsi="Cambria"/>
        <w:sz w:val="16"/>
      </w:rPr>
    </w:pPr>
    <w:r w:rsidRPr="000F2D04">
      <w:rPr>
        <w:rFonts w:ascii="Cambria" w:hAnsi="Cambria"/>
        <w:sz w:val="16"/>
      </w:rPr>
      <w:t>September 2012</w:t>
    </w:r>
  </w:p>
  <w:p w14:paraId="1CFCF883" w14:textId="77777777" w:rsidR="002B3D18" w:rsidRDefault="002B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CF87D" w14:textId="77777777" w:rsidR="002B3D18" w:rsidRDefault="002B3D18" w:rsidP="00F806E1">
      <w:pPr>
        <w:spacing w:after="0" w:line="240" w:lineRule="auto"/>
      </w:pPr>
      <w:r>
        <w:separator/>
      </w:r>
    </w:p>
  </w:footnote>
  <w:footnote w:type="continuationSeparator" w:id="0">
    <w:p w14:paraId="1CFCF87E" w14:textId="77777777" w:rsidR="002B3D18" w:rsidRDefault="002B3D18" w:rsidP="00F80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BF6"/>
    <w:multiLevelType w:val="hybridMultilevel"/>
    <w:tmpl w:val="985EE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A4F05"/>
    <w:multiLevelType w:val="hybridMultilevel"/>
    <w:tmpl w:val="FC6C5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C205ED"/>
    <w:multiLevelType w:val="hybridMultilevel"/>
    <w:tmpl w:val="6A7EC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DA079C"/>
    <w:multiLevelType w:val="hybridMultilevel"/>
    <w:tmpl w:val="357C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F184E"/>
    <w:multiLevelType w:val="hybridMultilevel"/>
    <w:tmpl w:val="3BE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372E2"/>
    <w:multiLevelType w:val="hybridMultilevel"/>
    <w:tmpl w:val="280E0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CE529F"/>
    <w:multiLevelType w:val="hybridMultilevel"/>
    <w:tmpl w:val="ED2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161B9"/>
    <w:multiLevelType w:val="hybridMultilevel"/>
    <w:tmpl w:val="A56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05E43"/>
    <w:multiLevelType w:val="hybridMultilevel"/>
    <w:tmpl w:val="D50E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140F"/>
    <w:rsid w:val="000F2D04"/>
    <w:rsid w:val="002B3D18"/>
    <w:rsid w:val="00300428"/>
    <w:rsid w:val="00385888"/>
    <w:rsid w:val="006A6A0A"/>
    <w:rsid w:val="00803DA4"/>
    <w:rsid w:val="0089140F"/>
    <w:rsid w:val="00A36AF5"/>
    <w:rsid w:val="00D36C0E"/>
    <w:rsid w:val="00D87735"/>
    <w:rsid w:val="00D87A77"/>
    <w:rsid w:val="00DA1A02"/>
    <w:rsid w:val="00E41FC9"/>
    <w:rsid w:val="00EB731A"/>
    <w:rsid w:val="00EC317F"/>
    <w:rsid w:val="00ED29FC"/>
    <w:rsid w:val="00ED4F0B"/>
    <w:rsid w:val="00F35109"/>
    <w:rsid w:val="00F8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91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4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140F"/>
    <w:pPr>
      <w:ind w:left="720"/>
      <w:contextualSpacing/>
    </w:pPr>
  </w:style>
  <w:style w:type="paragraph" w:styleId="Header">
    <w:name w:val="header"/>
    <w:basedOn w:val="Normal"/>
    <w:link w:val="HeaderChar"/>
    <w:uiPriority w:val="99"/>
    <w:unhideWhenUsed/>
    <w:rsid w:val="00F8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E1"/>
  </w:style>
  <w:style w:type="paragraph" w:styleId="Footer">
    <w:name w:val="footer"/>
    <w:basedOn w:val="Normal"/>
    <w:link w:val="FooterChar"/>
    <w:uiPriority w:val="99"/>
    <w:unhideWhenUsed/>
    <w:rsid w:val="00F8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E1"/>
  </w:style>
  <w:style w:type="paragraph" w:styleId="BalloonText">
    <w:name w:val="Balloon Text"/>
    <w:basedOn w:val="Normal"/>
    <w:link w:val="BalloonTextChar"/>
    <w:uiPriority w:val="99"/>
    <w:semiHidden/>
    <w:unhideWhenUsed/>
    <w:rsid w:val="00F8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E1"/>
    <w:rPr>
      <w:rFonts w:ascii="Tahoma" w:hAnsi="Tahoma" w:cs="Tahoma"/>
      <w:sz w:val="16"/>
      <w:szCs w:val="16"/>
    </w:rPr>
  </w:style>
  <w:style w:type="paragraph" w:styleId="NoSpacing">
    <w:name w:val="No Spacing"/>
    <w:uiPriority w:val="1"/>
    <w:qFormat/>
    <w:rsid w:val="003858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91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4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140F"/>
    <w:pPr>
      <w:ind w:left="720"/>
      <w:contextualSpacing/>
    </w:pPr>
  </w:style>
  <w:style w:type="paragraph" w:styleId="Header">
    <w:name w:val="header"/>
    <w:basedOn w:val="Normal"/>
    <w:link w:val="HeaderChar"/>
    <w:uiPriority w:val="99"/>
    <w:unhideWhenUsed/>
    <w:rsid w:val="00F8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E1"/>
  </w:style>
  <w:style w:type="paragraph" w:styleId="Footer">
    <w:name w:val="footer"/>
    <w:basedOn w:val="Normal"/>
    <w:link w:val="FooterChar"/>
    <w:uiPriority w:val="99"/>
    <w:unhideWhenUsed/>
    <w:rsid w:val="00F8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E1"/>
  </w:style>
  <w:style w:type="paragraph" w:styleId="BalloonText">
    <w:name w:val="Balloon Text"/>
    <w:basedOn w:val="Normal"/>
    <w:link w:val="BalloonTextChar"/>
    <w:uiPriority w:val="99"/>
    <w:semiHidden/>
    <w:unhideWhenUsed/>
    <w:rsid w:val="00F8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047E-B42B-46B3-9881-233A0DA1713C}">
  <ds:schemaRef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BAFA35-B40A-472F-B581-FC16EEE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A92332-4B2E-4178-B796-B8ECFAC43141}">
  <ds:schemaRefs>
    <ds:schemaRef ds:uri="http://schemas.microsoft.com/sharepoint/v3/contenttype/forms"/>
  </ds:schemaRefs>
</ds:datastoreItem>
</file>

<file path=customXml/itemProps4.xml><?xml version="1.0" encoding="utf-8"?>
<ds:datastoreItem xmlns:ds="http://schemas.openxmlformats.org/officeDocument/2006/customXml" ds:itemID="{F0ADBBD1-0044-44A2-A5E9-69EABF00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5</cp:revision>
  <cp:lastPrinted>2012-09-19T20:52:00Z</cp:lastPrinted>
  <dcterms:created xsi:type="dcterms:W3CDTF">2012-09-19T16:15:00Z</dcterms:created>
  <dcterms:modified xsi:type="dcterms:W3CDTF">2012-09-20T22:57:00Z</dcterms:modified>
</cp:coreProperties>
</file>